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sasnet_scale_aware</w:t>
      </w:r>
    </w:p>
    <w:p>
      <w:r>
        <w:t xml:space="preserve"> </w:t>
      </w:r>
    </w:p>
    <w:p>
      <w:pPr>
        <w:pStyle w:val="Heading2"/>
      </w:pPr>
      <w:r>
        <w:t>Title</w:t>
      </w:r>
    </w:p>
    <w:p>
      <w:r>
        <w:t>Scale-aware adaptive supervised network (SASNet) for semi-supervised medical image segmentation with limited annotations</w:t>
      </w:r>
    </w:p>
    <w:p>
      <w:r>
        <w:t xml:space="preserve"> </w:t>
      </w:r>
    </w:p>
    <w:p>
      <w:pPr>
        <w:pStyle w:val="Heading2"/>
      </w:pPr>
      <w:r>
        <w:t>Short Hypothesis</w:t>
      </w:r>
    </w:p>
    <w:p>
      <w:r>
        <w:t>A dual-branch network that fuses low-level and high-level features and applies scale-aware adaptive pixel reweighting, 3D Fourier-domain view-variance augmentation, and segmentation–regression consistency using signed distance maps will increase mean per-lesion Dice by ≥2% compared to matched-parameter baselines under the same limited-label budget.</w:t>
      </w:r>
    </w:p>
    <w:p>
      <w:r>
        <w:t xml:space="preserve"> </w:t>
      </w:r>
    </w:p>
    <w:p>
      <w:pPr>
        <w:pStyle w:val="Heading2"/>
      </w:pPr>
      <w:r>
        <w:t>Related Work</w:t>
      </w:r>
    </w:p>
    <w:p>
      <w:r>
        <w:t>Semi-supervised segmentation methods use pseudo-labeling, consistency regularization, or self-supervised pretraining to reduce annotation needs but often degrade at fine boundaries and small structures. Multi-scale and scale-aware networks attempt to handle object size variation with pyramids or dynamic routing, but many use fixed heuristics that do not adapt per-pixel and so miss local scale context. Uncertainty-aware and ensemble methods improve pseudo-label selection but rely on global thresholds that can fail across scale bins. Fourier- or frequency-domain augmentations have been used to simulate domain shifts, but prior uses rarely model 3D view variability or explicit annotator variation. Regression approaches using distance maps improve boundary localization but are seldom combined with segmentation in a consistency loss for semi-supervised learning. Limitations across prior work include fragile pseudo-label thresholds, limited handling of inter-annotator variability, poor small-lesion sensitivity, insufficient scale-aware routing, and lack of integrated spatial/temporal/geometric consistency.</w:t>
      </w:r>
    </w:p>
    <w:p>
      <w:r>
        <w:t xml:space="preserve"> </w:t>
      </w:r>
    </w:p>
    <w:p>
      <w:pPr>
        <w:pStyle w:val="Heading2"/>
      </w:pPr>
      <w:r>
        <w:t>Abstract</w:t>
      </w:r>
    </w:p>
    <w:p>
      <w:r>
        <w:t>We address semi-supervised medical image segmentation when high-quality annotations are scarce and lesions span a wide range of sizes. We propose SASNet, a dual-branch architecture that fuses low-level (high-resolution) and high-level (semantic) features and applies three integrated components: (1) scale-aware adaptive reweighting that computes per-pixel soft routing to weight predictions by local scale and temporal confidence accumulation, (2) a view-variance augmentation that perturbs volumes in the 3D Fourier domain to simulate realistic annotation and acquisition variability, and (3) segmentation–regression consistency that enforces agreement between mask outputs and signed distance map regression to sharpen boundaries. The main contribution is a unified semi-supervised training objective that combines spatial, temporal and geometric consistency to improve accuracy under limited labels. We expect improved mean per-lesion Dice, better small-lesion sensitivity, and tighter boundary localization compared with matched-parameter baselines while maintaining deployable compute costs.</w:t>
      </w:r>
    </w:p>
    <w:p>
      <w:r>
        <w:t xml:space="preserve"> </w:t>
      </w:r>
    </w:p>
    <w:p>
      <w:pPr>
        <w:pStyle w:val="Heading2"/>
      </w:pPr>
      <w:r>
        <w:t>Experiments</w:t>
      </w:r>
    </w:p>
    <w:p>
      <w:r>
        <w:t>Datasets: internal multicenter CT pilot with 150 labeled patients stratified by scale bins (small/medium/large), unlabeled pool ≥1000 scans, and external holdout of 50 unseen-center cases. Also test on at least one public segmentation dataset per organ class (example: lung nodules or liver lesions) if available. Baselines: HRNet-W18+FPN tuned to match FLOPs/params, U-Net++ matched for params, and a plain dual-branch variant without proposed modules. Metrics: per-lesion Dice (Dice coefficient; overlap of predicted vs reference mask), lesion-level sensitivity and FROC for small lesions, volumetric absolute and relative error, longest-diameter error (mm), scale-equivariance error (change under known rescaling), calibration metrics (ECE = expected calibration error), Brier score, AURC/risk-coverage, params, FLOPs, peak GPU memory, and per-tile latency (ms). Training setup: self-supervised pretraining (BYOL/SimCLR-style) on unlabeled scans 100–200 epochs with cosine LR, fine-tune with SGD/AdamW, weight decay=1e-4, early stopping patience=20 val epochs, dropout=0.1 in heads, batch size 16 (adjust by memory), cosine LR schedule; SEConv default: 3×3 base, dilation bank {1,2,4}, bottleneck ratio 0.5, scale channels S=4. Pseudo-labeling: deep ensembles of 5, per-pixel mean softmax thresholds initial {small:0.93, medium:0.90, large:0.88}, ensemble variance gating using precomputed absolute variance envelopes from pilot, relax thresholds −0.02 every 2 AL rounds down to floors {0.80,0.82,0.80}. Validation: patient-level 5-fold CV repeated 10×; nested CV for hyperparameter/pseudo-threshold tuning. Statistical tests: paired Wilcoxon signed-rank, bootstrap CI with 1,000 resamples, BH correction for exploratory families, Bonferroni for confirmatory primary endpoints. Ablations (each run on same splits and seeds): A) remove self-supervised pretraining; B) remove multi-scale consistency loss; C) remove SASCA fusion head (use simple concatenation); D) SEConv off (replace with standard conv); E) SSFP routing replaced by static FPN. Report sensitivity sweeps: SDR σ ∈ {0.25,0.5,1.0}, pseudo-label thresholds 0.80–0.95 step 0.01, ensemble sizes {3,5}. Reproducibility: publish DVC hashes, fixed seeds, Docker image and a 2-batch CI smoke test that reproduces a minimal training→eval cycle.</w:t>
      </w:r>
    </w:p>
    <w:p>
      <w:r>
        <w:t xml:space="preserve"> </w:t>
      </w:r>
    </w:p>
    <w:p>
      <w:pPr>
        <w:pStyle w:val="Heading2"/>
      </w:pPr>
      <w:r>
        <w:t>Risk Factors And Limitations</w:t>
      </w:r>
    </w:p>
    <w:p>
      <w:r>
        <w:t>1) SDR unit inconsistency: if SDR uses diameter vs volume without a single unit (mm or mm^3) routing will be inconsistent and harm results. 2) Pseudo-label brittleness: fixed percentile thresholds (e.g., ≤25th variance) can fail across datasets; absolute variance envelopes must be estimated on pilot data. 3) Small-lesion sensitivity: small objects may remain missed or produce high false positives; gains may be limited by image resolution. 4) Annotation-time assumptions: assumed times (scribble 1–2 min, mask 10–20 min) need empirical measurement; optimizer outputs depend on accurate time distributions. 5) Federated/DP utility: DP noise and non-iid client splits can significantly reduce accuracy; ε choices (privacy parameter) must be justified to stakeholders. 6) Compute and latency: SEConv, SASCA and ensembles increase FLOPs and memory; lightweight student distillation required for strict deployment targets. 7) Inter-annotator ceiling: ground truth variability limits measurable gains; probabilistic consensus may not capture rare disagreement patterns. 8) Generalization: tested organs/datasets may not cover all modalities (MRI vs CT) or extreme scanners; external holdouts may still not represent all shifts. 9) Reproducibility sensitivity: results may vary with random seeds, augmentation seeds, and GPU nondeterminism; CI smoke tests required to detect regressions.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