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cmrxmotion_motion_robust_analysis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Physics-aware deep learning for robust myocardial segmentation and image-quality assessment under respiratory motion in cardiac cine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physics-aware deep-learning pipeline that reconstructs from vendor raw k-space and applies motion-informed temporal regularization will reduce left ventricular ejection fraction (LVEF) mean absolute error by at least 3 percentage points and increase LV endocardial Dice by at least 0.03 compared to a baseline image-space segmentation model on data stratified by respiratory-motion severity.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classes: (1) image-space segmentation that operates on vendor reconstructed images (fast but sensitive to reconstruction and motion artifacts); (2) sequential pipelines that first reconstruct (classical or learned) then segment (improves fidelity but ignores joint error propagation); and (3) joint reconstruction–segmentation or unrolled reconstruction methods that implicitly model acquisition physics (better integration of k-space constraints but complex and data-hungry). Motion-correction and registration methods can reduce misalignment but often assume small, smooth motion and fail under large through-plane shifts. Simulation and augmentation work improves robustness but is limited by imperfect pseudo-k-space models that do not capture vendor-specific coil, apodization, or non-Cartesian trajectory effects. Reproducibility and standardized, motion-stratified benchmarks are lacking, and OOD (out-of-distribution) detection for extreme motion patterns is underdeveloped.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causes severe artifacts in cardiac cine MRI that degrade automated myocardial segmentation and clinical indices such as left ventricular ejection fraction (LVEF). We propose a physics-aware deep-learning approach that reconstructs from vendor raw k-space and incorporates motion-informed temporal regularization to jointly perform image reconstruction, automated image-quality assessment (IQA), and myocardial segmentation. Key contributions are: (1) evaluation on a controlled-motion raw-data benchmark stratified by objective motion-severity metrics; (2) baseline model families including an unrolled physics-aware reconstructor with a registration module and a joint recon–seg spatio-temporal network; and (3) paired experiments comparing vendor raw versus pseudo-k-space and explicit OOD detection for extreme motion. Expected outcomes are statistically significant reduction in LVEF error and improved segmentation Dice across severe respiratory-motion bins, plus an auditable evaluation protocol (containerized runs, deterministic CPU verification, bootstrap CIs). The result will enable reproducible assessment of motion-robust cardiac MRI methods and guide clinically meaningful performance targets.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controlled CMRxMotion raw (ISMRMRD) dataset stratified into none/mild/moderate/severe motion (target 60–80 labeled subjects per bin), public pretraining corpora (ACDC, M&amp;Ms, UK Biobank) for initialization, a pilot set N=150 for variance calibration, and a paired ablation cohort of n=30 volunteers plus programmable phantom acquisitions (vendor raw + vendor recon DICOM). Baselines: (A) nnUNet segmentation on vendor recon images (image-space baseline); (B) classical reconstruction (e.g., SENSE/GRAPPA) followed by nnUNet; (C) unrolled physics-aware reconstruction (VarNet/MoDL style) + segmentation head; (D) joint reconstruction–segmentation spatio-temporal 3D/2.5D network; (E) registration-based motion correction + segmentation. Ablations: (i) vendor raw k-space input vs pseudo-k-space (FFT of DICOM) input; (ii) with vs without explicit motion prior (VAE/flow); (iii) deterministic CPU mode vs standard GPU training. Metrics: segmentation Dice (LV endocardium), Hausdorff distance 95th percentile (mm), EDV/ESV MAE (mL), LVEF MAE (percentage points), Bland–Altman bias and limits, intraclass correlation (ICC), calibration ECE, OOD detector ROC/recall at FPR=0.10, 95% bootstrap CIs (10,000 resamples). Experimental setup: stratified cross-validation with vendor-balanced folds and an external held-out vendor test set; paired statistical tests via paired bootstrap and Wilcoxon signed-rank; enforce per-case inference limit 300 s on single GPU with 16 GB and memory cap 32 GB for timing metrics; report runtime and peak memory. Power checks: use SD≈8% for LVEF and n≈56–75 for detecting a 3 pp MAE improvement, therefore use 60–80 per bin. Deliverables: per-method Docker container, reproducibility CPU test-case, and final per-bin performance tables and ablation figures.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missing or incompatible vendor raw exports; pseudo-k-space may not reproduce vendor k-space statistics (coil maps, apodization, trajectories), causing biased ablation results. Registration modules can fail on large through-plane motion or low-SNR frames. Data and evaluation biases: limited OOD coverage (field strengths, non-Cartesian sampling, arrhythmia, rare pathologies) can produce overoptimistic robustness estimates. Scalability and compute: joint physics-aware models require large GPU-hours and memory; deterministic CPU verification for audits is slower and may not cover all model behaviors. Reproducibility limits: GPU nondeterminism can make bitwise replication impossible for training runs; only CPU auditability is guaranteed. Clinical limits: improvements on simulated or phantom motion may not fully translate to all clinical scanners or sequences. Governance limits: DUAs and vendor restrictions may limit sharing of raw data and slow multi-vendor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