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disentangled_anatomy_pseudohealthy_mri</w:t>
      </w:r>
    </w:p>
    <w:p>
      <w:r>
        <w:t xml:space="preserve"> </w:t>
      </w:r>
    </w:p>
    <w:p>
      <w:pPr>
        <w:pStyle w:val="Heading2"/>
      </w:pPr>
      <w:r>
        <w:t>Title</w:t>
      </w:r>
    </w:p>
    <w:p>
      <w:r>
        <w:t>Disentangled anatomy learning for unsupervised anomaly detection in brain MRI via pseudo‑healthy edge‑to‑image reconstruction</w:t>
      </w:r>
    </w:p>
    <w:p>
      <w:r>
        <w:t xml:space="preserve"> </w:t>
      </w:r>
    </w:p>
    <w:p>
      <w:pPr>
        <w:pStyle w:val="Heading2"/>
      </w:pPr>
      <w:r>
        <w:t>Short Hypothesis</w:t>
      </w:r>
    </w:p>
    <w:p>
      <w:r>
        <w:t>A two‑module reconstruction pipeline that (1) disentangles stable anatomical structure from imaging factors and (2) reconstructs pseudo‑healthy MRIs from high‑frequency edge anatomy representations will increase lesion‑level sensitivity and reduce false positives compared to standard unsupervised reconstruction methods.</w:t>
      </w:r>
    </w:p>
    <w:p>
      <w:r>
        <w:t xml:space="preserve"> </w:t>
      </w:r>
    </w:p>
    <w:p>
      <w:pPr>
        <w:pStyle w:val="Heading2"/>
      </w:pPr>
      <w:r>
        <w:t>Related Work</w:t>
      </w:r>
    </w:p>
    <w:p>
      <w:r>
        <w:t>Existing unsupervised brain MRI anomaly detection approaches use reconstruction (autoencoders, variational autoencoders) or generative adversarial models to detect anomalies as reconstruction errors; recent work has incorporated disentangled representations to separate factors (anatomy vs appearance) and used pseudo‑healthy synthesis to highlight pathology. Other lines apply domain adaptation or physics‑aware injection of synthetic lesions to improve generalization. Limitations: (1) anatomy–pathology leakage where anatomy latents capture lesion information, producing residual abnormalities in pseudo‑healthy images; (2) residual abnormal signals in reconstructions that cause high false positives; (3) weak constraints on disentanglement leading to unstable factorization across seeds and sites; (4) limited multi‑modality and multi‑center validation and calibration under site shift; (5) synthetic injection pipelines that are not validated by radiologists and can mislead evaluation.</w:t>
      </w:r>
    </w:p>
    <w:p>
      <w:r>
        <w:t xml:space="preserve"> </w:t>
      </w:r>
    </w:p>
    <w:p>
      <w:pPr>
        <w:pStyle w:val="Heading2"/>
      </w:pPr>
      <w:r>
        <w:t>Abstract</w:t>
      </w:r>
    </w:p>
    <w:p>
      <w:r>
        <w:t>We address unsupervised detection of brain MRI anomalies by introducing a two‑module reconstruction framework that separates anatomical structure from imaging‑specific factors and then reconstructs high‑quality pseudo‑healthy images from edge‑derived anatomy. The first module learns a disentangled representation: an anatomy code that encodes stable morphological structure and an appearance code that captures sequence and scanner effects. Anatomy is constrained by simple anatomical priors and a differentiable one‑hot-style operator that enforces discrete anatomical channels. The second module is an edge‑to‑image restoration network that reconstructs full MR contrasts from high‑frequency edge cues and reintroduces imaging factors only where consistent with healthy anatomy, which suppresses abnormal residuals while preserving detail. The main contribution is the combined disentanglement + edge‑based restoration pipeline and a reproducible evaluation protocol across modalities and sites. Expected outcome: improved lesion‑level sensitivity and lower false positive rates in unsupervised detection, with clearer failure modes for downstream clinical validation.</w:t>
      </w:r>
    </w:p>
    <w:p>
      <w:r>
        <w:t xml:space="preserve"> </w:t>
      </w:r>
    </w:p>
    <w:p>
      <w:pPr>
        <w:pStyle w:val="Heading2"/>
      </w:pPr>
      <w:r>
        <w:t>Experiments</w:t>
      </w:r>
    </w:p>
    <w:p>
      <w:r>
        <w:t>Datasets: use multi‑site healthy training sets (3D T1 and FLAIR) and lesion test sets from (a) BraTS tumor scans, (b) ISLES/ATLAS stroke/hemorrhage collections, and (c) an external hold‑out multi‑center dataset (different vendors and field strengths). Preprocess all data to common space and produce QC JSON per series. Baselines: vanilla AE, VAE, f‑AnoGAN, reconstruction + adversarial critic, FactorVAE and SAP‑VAE disentanglement baselines, and a conditional GAN pseudo‑healthy generator. Metrics: lesion‑level sensitivity (primary), FP/scan, FROC curves, lesion IoU and Dice for segmentation, localization AUC, calibration (ECE, Brier), and per‑site performance. Setup: train only on healthy scans; calibrate fusion weights w1..w4 on per‑site healthy calibration sets; evaluate on held‑out labeled lesion scans. Statistical tests: mixed‑effects model with reader/site/patient random effects and clustered bootstrap (1,000 resamples) for 95% CIs. Ablations: (A) remove anatomical priors (no one‑hot constraint); (B) replace edge input with full image to restoration module; (C) disable disentanglement (single latent); (D) vary anatomy latent dimensionality (3, 8, 16); (E) synthetic injection experiments: latent swaps, pathology ablation (zero pathology latents), and lesion insertion/removal with sub‑voxel blending. Report per‑ablation changes in sensitivity, FP/scan, IoU, and disentanglement metrics (MIG, DCI).</w:t>
      </w:r>
    </w:p>
    <w:p>
      <w:r>
        <w:t xml:space="preserve"> </w:t>
      </w:r>
    </w:p>
    <w:p>
      <w:pPr>
        <w:pStyle w:val="Heading2"/>
      </w:pPr>
      <w:r>
        <w:t>Risk Factors And Limitations</w:t>
      </w:r>
    </w:p>
    <w:p>
      <w:r>
        <w:t>1) Anatomy–pathology leakage: anatomy latents may capture lesion features, causing pseudo‑healthy images to retain pathology and reducing detection power. 2) Overfitting to synthetic injections: training/evaluation using injected lesions may not reflect real lesion appearance, inflating metrics. 3) Calibration and site shift: probabilities and thresholds may not transfer across scanners/sites, degrading FP/scan and sensitivity. 4) Label noise and ground truth uncertainty: imperfect radiologist masks and adjudication variability will bias evaluation. 5) Computational cost: 3D training, edge extraction and per‑site calibration increase runtime and GPU memory needs. 6) Limited generalization: method may perform differently across modalities (e.g., DWI) and rare lesion types. 7) Ethical/data governance limits: multisite data access, consent, and intended clinical use constraints may limit external validation. 8) Metric sensitivity: chosen thresholds (IoU 0.10, centroid 10 mm, 20 mm^3 cutoff) may affect reported performance and require empirical justification.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