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lctfound_multimodal_diffusion</w:t>
      </w:r>
    </w:p>
    <w:p>
      <w:r>
        <w:t xml:space="preserve"> </w:t>
      </w:r>
    </w:p>
    <w:p>
      <w:pPr>
        <w:pStyle w:val="Heading2"/>
      </w:pPr>
      <w:r>
        <w:t>Title</w:t>
      </w:r>
    </w:p>
    <w:p>
      <w:r>
        <w:t>Diffusion-based multimodal lung CT foundation model for multi-task imaging and diagnostic tasks</w:t>
      </w:r>
    </w:p>
    <w:p>
      <w:r>
        <w:t xml:space="preserve"> </w:t>
      </w:r>
    </w:p>
    <w:p>
      <w:pPr>
        <w:pStyle w:val="Heading2"/>
      </w:pPr>
      <w:r>
        <w:t>Short Hypothesis</w:t>
      </w:r>
    </w:p>
    <w:p>
      <w:r>
        <w:t>Pretraining a large-scale 3D lung CT foundation model with diffusion-based self-supervision combined with joint clinical-image encoding on a curated multi-center dataset increases downstream performance on segmentation, detection, reconstruction and diagnosis tasks compared to models pretrained with masked autoencoding, contrastive learning, or supervised pretraining, as measured by higher sensitivity, Dice, AUC, and lower volumetric bias on held-out test sets.</w:t>
      </w:r>
    </w:p>
    <w:p>
      <w:r>
        <w:t xml:space="preserve"> </w:t>
      </w:r>
    </w:p>
    <w:p>
      <w:pPr>
        <w:pStyle w:val="Heading2"/>
      </w:pPr>
      <w:r>
        <w:t>Related Work</w:t>
      </w:r>
    </w:p>
    <w:p>
      <w:r>
        <w:t>Prior work on medical image foundation models has used 3D convolutional networks and transformer hybrids, and self-supervised objectives such as masked volume modeling (predicting missing voxels) and contrastive learning (pulling similar views together). Other lines use generative models for CT image enhancement and reconstruction, and separate supervised models for segmentation and detection. Limitations in prior approaches include: small or single-center datasets that reduce generalizability; weak integration of clinical metadata (such as age, smoking, prior surgery) with imaging during pretraining; limited generative capacity for realistic CT enhancement or virtual angiography; insufficient evaluation across reconstruction kernels, vendors and low-dose scans; and sparse subgroup powering for protected groups. Privacy-aware training (federated learning, differentially private SGD) has been explored but often degrades utility or lacks formal privacy accounting for end-to-end adapter-based schemes. Existing methods also rarely unify many downstream CT tasks into a single adaptable foundation model.</w:t>
      </w:r>
    </w:p>
    <w:p>
      <w:r>
        <w:t xml:space="preserve"> </w:t>
      </w:r>
    </w:p>
    <w:p>
      <w:pPr>
        <w:pStyle w:val="Heading2"/>
      </w:pPr>
      <w:r>
        <w:t>Abstract</w:t>
      </w:r>
    </w:p>
    <w:p>
      <w:r>
        <w:t>We propose a lung CT vision foundation model pretrained with diffusion-based self-supervision and joint clinical-image encoding on a large multi-center dataset to enable a single model adaptable to multiple CT imaging tasks. The approach uses a 3D hybrid architecture (convolutional stem + hierarchical volumetric transformer) that ingests multi-reconstruction channels and structured clinical metadata. Pretraining uses diffusion reconstruction objectives (a generative task where the model learns to denoise corruptions) combined with local-global contrastive terms to preserve lesion sensitivity. The trained foundation model is fine-tuned via adapters or full tuning for downstream tasks including CT enhancement (denoising/virtual CTA), sparse-view reconstruction, lesion segmentation/detection, diagnostic classification, prognosis and 3D surgical navigation. Main contributions are: (1) a diffusion-pretrained multimodal lung CT foundation that unifies imaging and metadata, (2) a rigorously designed evaluation suite across multi-center, multi-kernel, and edge-case cohorts, and (3) an analysis of adapter-based federated and differentially private training trade-offs. Expected outcomes are improved task performance and robustness across vendors and imaging protocols while enabling privacy-aware cross-site training.</w:t>
      </w:r>
    </w:p>
    <w:p>
      <w:r>
        <w:t xml:space="preserve"> </w:t>
      </w:r>
    </w:p>
    <w:p>
      <w:pPr>
        <w:pStyle w:val="Heading2"/>
      </w:pPr>
      <w:r>
        <w:t>Experiments</w:t>
      </w:r>
    </w:p>
    <w:p>
      <w:r>
        <w:t>Datasets: pretraining: lungCT-28M (unlabeled multi-center CT volumes, if available) or large pooled DICOM corpus; labeled internal core: 25,000 chest CT exams with 20–30% full volumetric segmentations; external holdout: 5,000 exams from distinct centers/vendors; MRMC reader study: 300 cases enriched by lesion size strata. Tasks and splits: standard train/val/test splits by site to ensure external validation; reserve temporal split for prospective-simulation tests. Baselines: (A) supervised pretraining on labeled subset; (B) masked volume modeling (3D-MAE); (C) multi-view contrastive pretraining; (D) same architecture without clinical metadata; (E) diffusion pretraining without contrastive term. Fine-tuning modes: adapters only, linear probe, full fine-tune. Evaluation metrics: detection sensitivity by nodule-size bins (&lt;=4 mm, 4–6 mm, &gt;6 mm), FP/scan, segmentation Dice and IoU, volumetric bias (%) relative to phantom truth, AUC for diagnostic tasks, calibration (ECE = expected calibration error), inference latency (s per volume), and subgroup-specific CIs. Statistical tests: report 95% binomial CIs for sensitivity, bootstrap AUC CIs, and MRMC analysis comparing model vs reader(s) with variance components and inter-reader ICC. Ablation studies: (1) diffusion vs MAE vs contrastive; (2) with vs without clinical metadata; (3) multi-recon multi-channel input vs single recon; (4) adapter vs full fine-tune; (5) augmentation: simulated low-dose/noise and kernel changes. Robustness matrix: evaluate per-vendor, per-kernel, slice thickness and dose levels; include phantom-based volumetry tests. Privacy/federated pilot: federated adapter aggregation across 5 sites × 2k exams each, evaluate epsilons {0.5,1,2,4,8} with formal privacy accountant (report RDP/advanced composition results) and measure delta-AUC and subgroup sensitivity. MRMC reader study: 6–10 readers, 300 cases, enriched positives, measure per-lesion sensitivity differences and time-to-decision; power target: detect 3–5% sensitivity differences with 95% CI per primary bins.</w:t>
      </w:r>
    </w:p>
    <w:p>
      <w:r>
        <w:t xml:space="preserve"> </w:t>
      </w:r>
    </w:p>
    <w:p>
      <w:pPr>
        <w:pStyle w:val="Heading2"/>
      </w:pPr>
      <w:r>
        <w:t>Risk Factors And Limitations</w:t>
      </w:r>
    </w:p>
    <w:p>
      <w:r>
        <w:t>Technical failure modes: diffusion pretraining may not concentrate features needed for small-lesion detection, causing lower sensitivity for &lt;=4 mm nodules; generative objectives risk producing realistic but clinically misleading reconstructions. Data and evaluation biases: multi-center pooling can still under-represent minority subgroups or device models, limiting subgroup generalization; labels have inter-reader variability that inflates evaluation noise (inter-reader Dice/kappa limits). Privacy and utility trade-offs: applying DP-SGD or high-noise federated updates can reduce model utility, especially for rare subgroups. Scalability and compute: full 3D foundation pretraining requires thousands to tens of thousands of GPU-days and tens of TB storage, raising cost and carbon footprint constraints. Limits to generalization: model may fail on extreme anatomies (pediatric, prior thoracic surgery), uncommon reconstruction kernels or severe metal artifacts; performance in prospective clinical deployment can differ from retrospective benchmarks. Regulatory and safety: proving clinical benefit for specific claims requires targeted prospective evidence and MRMC rigor beyond retrospective improvements. Interpretability limits: attribution maps (e.g., Grad-CAM) may not localize causally relevant features, risking misleading explanations.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