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remote_personalized_nutrition_rct</w:t>
      </w:r>
    </w:p>
    <w:p>
      <w:r>
        <w:t xml:space="preserve"> </w:t>
      </w:r>
    </w:p>
    <w:p>
      <w:pPr>
        <w:pStyle w:val="Heading2"/>
      </w:pPr>
      <w:r>
        <w:t>Title</w:t>
      </w:r>
    </w:p>
    <w:p>
      <w:r>
        <w:t>A fully remote randomized controlled trial of digital personalized nutrition versus generic advice with self-collected anthropometrics in adults with overweight or obesity</w:t>
      </w:r>
    </w:p>
    <w:p>
      <w:r>
        <w:t xml:space="preserve"> </w:t>
      </w:r>
    </w:p>
    <w:p>
      <w:pPr>
        <w:pStyle w:val="Heading2"/>
      </w:pPr>
      <w:r>
        <w:t>Short Hypothesis</w:t>
      </w:r>
    </w:p>
    <w:p>
      <w:r>
        <w:t>Adults randomized to a digital personalized nutrition program will have greater percent weight loss at 12 months than adults receiving generic nutrition advice.</w:t>
      </w:r>
    </w:p>
    <w:p>
      <w:r>
        <w:t xml:space="preserve"> </w:t>
      </w:r>
    </w:p>
    <w:p>
      <w:pPr>
        <w:pStyle w:val="Heading2"/>
      </w:pPr>
      <w:r>
        <w:t>Related Work</w:t>
      </w:r>
    </w:p>
    <w:p>
      <w:r>
        <w:t>Remote and digital nutrition interventions have shown promise for weight loss by using tailored recommendations, meal delivery, and automated coaching. Prior trials demonstrate that personalized advice and provisioned food boxes can produce larger short-term weight changes than generic guidance. Photo-based dietary assessment systems (photo-to-portion pipelines) and self-measured weights have been used in pragmatic studies, but they suffer from systematic underreporting of intake, variable portion-size error, and subgroup biases (for example by BMI, skin tone, lighting, or device type). Biomarker calibration substudies using doubly labeled water (DLW), urinary nitrogen, or continuous glucose monitoring (CGM) have been used to correct intake estimates, but tradeoffs include high cost (DLW), logistical burden (24‑hr urine), and limited direct effect on weight-outcome variance (CGM). Existing work often lacks fully remote validation of do-it-yourself anthropometrics, rigorous ML bias audits, and operationalized clinician triage SLAs for scalable deployment.</w:t>
      </w:r>
    </w:p>
    <w:p>
      <w:r>
        <w:t xml:space="preserve"> </w:t>
      </w:r>
    </w:p>
    <w:p>
      <w:pPr>
        <w:pStyle w:val="Heading2"/>
      </w:pPr>
      <w:r>
        <w:t>Abstract</w:t>
      </w:r>
    </w:p>
    <w:p>
      <w:r>
        <w:t>We propose a fully remote randomized controlled trial to test whether a digital personalized nutrition program produces greater percent weight loss at 12 months than generic online nutrition advice. The intervention combines automated meal-photo intake capture (photo-to-portion pipeline), tailored algorithmic advice plus optional personalized food boxes, and remote dietitian coaching; control receives generic advice. A 6-week pilot (N=40) will validate do-it-yourself anthropometrics (home weight, waist), the photo pipeline, adherence triggers, and nested biomarker calibration (DLW, urinary nitrogen, CGM subsamples). The main trial will randomize 300 adults with overweight or obesity (100 per arm) and measure percent weight change at 12 months as the primary outcome. Contributions are (1) demonstration of feasibility and measurement validity for fully remote self-collected anthropometrics and photo dietary intake, (2) estimation of effect size of personalization and of adding food boxes in a remote setting, and (3) evaluation of photo-pipeline calibration using biomarkers to quantify and correct measurement error. The expected outcome is evidence on efficacy and operational feasibility for scalable remote personalized nutrition trials.</w:t>
      </w:r>
    </w:p>
    <w:p>
      <w:r>
        <w:t xml:space="preserve"> </w:t>
      </w:r>
    </w:p>
    <w:p>
      <w:pPr>
        <w:pStyle w:val="Heading2"/>
      </w:pPr>
      <w:r>
        <w:t>Experiments</w:t>
      </w:r>
    </w:p>
    <w:p>
      <w:r>
        <w:t>Datasets: Pilot dataset: N=40 participants over 6 weeks including daily meal photos, weekly Bluetooth scale weights, 2–4 weighed food-record days per participant where feasible, and nested biomarkers: DLW n=25 (energy), urinary nitrogen n=30 (protein), CGM n=30 (optional). Main RCT dataset: target N=300 adults (age 18–70) with BMI≥25 randomized 1:1:1 to (A) generic advice, (B) personalized digital advice, (C) personalized advice + personalized food box; enroll ~100 per arm; plan 20% attrition. Baselines: generic advice arm as control; ablation: personalized without food box vs with food box; calibration ablation: analyses with and without DLW-based regression calibration of photo-derived intake. Evaluation metrics: Primary—percent change in body weight at 12 months. Secondary—waist circumference, body composition, HbA1c, diet quality score, weekly adherence (percent days with ≥1 meal photo), clinician time per participant, safety events. Photo-pipeline metrics—mean absolute percentage error (MAPE) for portion size, mean energy bias, RMSE, Pearson r, Bland–Altman limits, food-group classification accuracy, subgroup bias by BMI/skin tone/device. Statistical models and setup: Primary analysis: ANCOVA (analysis of covariance — a model that adjusts for baseline values) of percent weight change at 12 months comparing arms, adjusting for baseline weight, stratification variables (BMI strata &lt;35/≥35, language), and site if multi-site; report adjusted mean differences and 95% CIs. Secondary repeated-measures: linear mixed-effects model (a model for longitudinal data that accounts for repeated measures within participants) for weight at 0, 6, 12 months with random intercepts. Missing data: multiple imputation (MI) with auxiliary adherence covariates under MAR (missing at random), plus pre-specified MNAR sensitivity analyses using pattern-mixture/delta adjustments (deltas 0, -1%, -3%, -5%, -7%). Biomarker calibration experiment: use DLW subsample to fit regression-calibration models that map photo-derived intake to DLW-derived energy expenditure and compare primary trial effect estimates with and without calibration. Baselines and comparisons: compare arms pairwise (B vs A, C vs A, C vs B) with multiplicity control via hierarchical testing (primary comparison B vs A first) and false discovery rate (FDR) 5% for exploratory outcomes. Ablation studies: (1) personalized vs personalized+foodbox (effect of food box), (2) analysis with vs without DLW-based calibration (impact of measurement-error correction), (3) photo-pipeline performance across subgroups (skin tone, BMI, device type). Power/sample-size: assume MCID Δ=3% weight change, SD=6%; with Bonferroni-adjusted pairwise alpha for three-arm comparisons, target ~76 per arm to detect Δ with 80% power; allocate 100 per arm (N=300) to allow attrition and operational buffers. Pre-specified per-protocol: ≥70% days with ≥1 meal photo months 0–6 and ≥80% weekly weights; conduct both ITT (intention-to-treat) and per-protocol analyses.</w:t>
      </w:r>
    </w:p>
    <w:p>
      <w:r>
        <w:t xml:space="preserve"> </w:t>
      </w:r>
    </w:p>
    <w:p>
      <w:pPr>
        <w:pStyle w:val="Heading2"/>
      </w:pPr>
      <w:r>
        <w:t>Risk Factors And Limitations</w:t>
      </w:r>
    </w:p>
    <w:p>
      <w:r>
        <w:t>Measurement error: photo-to-portion pipelines systematically under- or over-estimate portions; calibration subsamples (DLW, urinary N) may be too small to fully correct errors. Missing data and MNAR: remote trials risk nonrandom drop-out (MNAR—missing not at random) that can bias results; planned MI and delta analyses may not fully capture real-world missingness mechanisms. Biomarker constraints: DLW is costly and logistically complex for remote collection; urinary 24‑hr collections have compliance issues; CGM provides glycemic but not direct energy measures. ML fairness and generalization: models may perform worse for underrepresented subgroups (skin tones, languages, device types) leading to biased personalization; sample sizes may be inadequate to detect small subgroup gaps. Contamination and co-intervention: participants in different arms may share advice or obtain external food programs, reducing detectable differences. Recruitment and retention: achieving N=300 with required stratification and device-loaner logistics may be slower or more expensive than planned. Device variability: home scales and phones vary in accuracy; lack of standardized equipment can increase measurement noise. Statistical limitations: three-arm design with multiple comparisons increases alpha control complexity and required sample size; response-adaptive designs (if used) complicate inferential guarantees. Regulatory and privacy risks: cross-border data flows and vendor contracts may delay deployment; participant data deletion requests may conflict with retention policies. Scalability: high clinician workload for triage may limit scalability without automation; cost of food boxes and biomarkers may limit generalizability to low-resource settings.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