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gbs_chromogenic_spectroscopy_poct</w:t>
      </w:r>
    </w:p>
    <w:p>
      <w:r>
        <w:t xml:space="preserve"> </w:t>
      </w:r>
    </w:p>
    <w:p>
      <w:pPr>
        <w:pStyle w:val="Heading2"/>
      </w:pPr>
      <w:r>
        <w:t>Title</w:t>
      </w:r>
    </w:p>
    <w:p>
      <w:r>
        <w:t>Quantitative point-of-care identification of Group B Streptococcus colonization using specific absorption spectroscopy of chromogenic culture media</w:t>
      </w:r>
    </w:p>
    <w:p>
      <w:r>
        <w:t xml:space="preserve"> </w:t>
      </w:r>
    </w:p>
    <w:p>
      <w:pPr>
        <w:pStyle w:val="Heading2"/>
      </w:pPr>
      <w:r>
        <w:t>Short Hypothesis</w:t>
      </w:r>
    </w:p>
    <w:p>
      <w:r>
        <w:t>Converting pigment concentration from chromogenic culture media into a calibrated electrical and computed signal via specific absorption spectroscopy will provide a quantitative measure of Group B Streptococcus concentration in rectovaginal swabs that discriminates colonized from non-colonized status with high diagnostic accuracy.</w:t>
      </w:r>
    </w:p>
    <w:p>
      <w:r>
        <w:t xml:space="preserve"> </w:t>
      </w:r>
    </w:p>
    <w:p>
      <w:pPr>
        <w:pStyle w:val="Heading2"/>
      </w:pPr>
      <w:r>
        <w:t>Related Work</w:t>
      </w:r>
    </w:p>
    <w:p>
      <w:r>
        <w:t>Current rapid point-of-care methods for GBS focus on nucleic acid amplification such as PCR and isothermal methods (for example LAMP or RPA). These molecular tests deliver fast and sensitive detection but require enzymes, cold chain or stabilized reagents, and may be subject to contamination or cost limitations at scale. Traditional culture methods using chromogenic media produce colored pigments where colony color indicates species, but reading is qualitative and requires incubation and trained personnel. Spectrophotometric measurement of pigment or turbidity is used in some lab workflows for bacterial quantification, but it is not commonly integrated with chromogenic media for bedside testing. Limitations in existing methods include trade-offs among speed, cost, contamination risk, quantitative output, and suitability for low-resource, intrapartum point-of-care settings. No widely adopted method currently provides low-cost, instrumented, quantitative readout of chromogenic media pigment directly from swabs at the bedside.</w:t>
      </w:r>
    </w:p>
    <w:p>
      <w:r>
        <w:t xml:space="preserve"> </w:t>
      </w:r>
    </w:p>
    <w:p>
      <w:pPr>
        <w:pStyle w:val="Heading2"/>
      </w:pPr>
      <w:r>
        <w:t>Abstract</w:t>
      </w:r>
    </w:p>
    <w:p>
      <w:r>
        <w:t>Group B Streptococcus (GBS) colonization in pregnant women is a key determinant for intrapartum antibiotic prophylaxis to prevent neonatal infection. We propose a point-of-care approach that measures pigment produced in chromogenic culture media by specific absorption spectroscopy, converts optical signals into electrical outputs, and computes a single quantitative variable that predicts GBS concentration. The method pairs an extraction-free rectovaginal swab workflow with a sealed disposable cartridge, on-instrument spectral measurement, and a calibrated conversion model to map pigment signal to colony-forming units per swab. The main contribution is a reproducible, low-cost pathway to translate an established culture signal into a rapid numeric readout suitable for labor ward use. Expected outcomes include a defined limit of detection, diagnostic accuracy estimates versus a composite laboratory reference, and operational metrics for low-resource deployment. If successful, the approach could enable rapid, quantitative GBS screening at admission and inform timely prophylaxis decisions.</w:t>
      </w:r>
    </w:p>
    <w:p>
      <w:r>
        <w:t xml:space="preserve"> </w:t>
      </w:r>
    </w:p>
    <w:p>
      <w:pPr>
        <w:pStyle w:val="Heading2"/>
      </w:pPr>
      <w:r>
        <w:t>Experiments</w:t>
      </w:r>
    </w:p>
    <w:p>
      <w:r>
        <w:t>Datasets: 1) Clinical set: paired rectovaginal swabs from 300 laboring women collected at two Ugandan sites. Each patient provides one swab for the POCT cartridge and one swab for LIM enrichment culture plus reference PCR/sequencing. 2) Analytical spiked set: swabs spiked with GBS at dilutions 1e5, 1e4, 1e3, 1e2, 1e1, 1e0 CFU/swab with 20 replicates per dilution (minimum 20, prefer 30 at near-LOD levels). 3) Inhibitor challenge set: 40 swabs spiked with physiological levels of blood, fecal material, lubricants, antiseptics. 4) Inclusivity/exclusivity panels: &gt;=30 diverse GBS isolates including major serotypes and ST17, and &gt;=20 non-GBS species. Baselines: composite laboratory reference defined as LIM enrichment culture with colony confirmation OR reference PCR/sequencing positive from enrichment or direct extract; comparator molecular POCT (commercial rapid PCR or LAMP) where available. Evaluation metrics: sensitivity and specificity with two-sided 95% Clopper-Pearson confidence intervals versus composite reference; positive predictive value and negative predictive value at observed prevalences; 95% LOD estimated by Probit analysis (copies/reaction and CFU/swab); linearity R2 and slope for spectroscopy signal versus plated CFU; Pearson correlation coefficient R; coefficient of variation (CV) for precision; inhibition rate and IAC (internal amplification control) mean shift (Ct or TTP equivalent). Experimental setup: define swab elution as 200 µL lysis buffer with 10 µL input equivalent to the measurement chamber; instrument measures absorbance spectrum at defined wavelengths targeting chromogen peak (specific absorption spectroscopy means measuring light absorption at pigment-specific wavelengths), convert to voltage via photodiode, log and normalize against calibration blank. Calibration: use synthetic pigment standards and fluorescent optical cartridges for daily calibration. Replicates: precision study 3 operators × 3 days × 5 replicates at high, low (near-LOD), and negative levels. Statistical analysis: diagnostic accuracy by Clopper-Pearson CIs; compare spectroscopy-derived quantitative estimates to plated CFU by linear regression and Bland-Altman limits of agreement. Ablation studies: A) mapping function ablation: compare linear regression, polynomial regression, and small neural network models for converting absorbance to CFU to determine model impact on accuracy; B) input processing ablation: compare extraction-free workflow versus 1:10 dilution and versus simple heat+chelator extraction fallback to assess inhibitor effects on signal and diagnostic metrics. Secondary comparisons: benchmark sensitivity/specificity and time-to-result against molecular POCT baseline. Pre-specified success criteria: sensitivity &gt;=95% with lower 95% CI &gt;=90% and specificity &gt;=98% with lower 95% CI &gt;=95% in pivotal-like aggregated results.</w:t>
      </w:r>
    </w:p>
    <w:p>
      <w:r>
        <w:t xml:space="preserve"> </w:t>
      </w:r>
    </w:p>
    <w:p>
      <w:pPr>
        <w:pStyle w:val="Heading2"/>
      </w:pPr>
      <w:r>
        <w:t>Risk Factors And Limitations</w:t>
      </w:r>
    </w:p>
    <w:p>
      <w:r>
        <w:t>Technical failure modes: pigment signal may be weak at low bacterial loads or confounded by non-GBS chromogens in clinical matrix leading to false negatives or positives. Inhibitors: blood, fecal material, lubricants or antiseptics may alter pigment production or optical measurement and increase invalid rates. Conversion uncertainty: mapping from absorbance to CFU depends on measured swab-to-eluate recovery and genome copy:CFU ratios, which vary and introduce conversion error. Generalization limits: performance may differ across GBS serotypes or local strains that produce variable pigment. Low prevalence impact: if clinical prevalence is lower than assumed, required total sample size to reach target positives increases substantially. Operational constraints: instrument stability to temperature, humidity and power limits in low-resource settings may degrade measurement repeatability. Supply and scale: cartridge and reagent manufacturing at target cost may not scale immediately, affecting per-test cost. Regulatory and acceptance risks: reviewers may prefer molecular comparators; translating a culture-based optical readout to a diagnostic claim may face scrutiny. Human factors: user errors in swab elution or cartridge handling at point-of-care sites may raise invalid or inaccurate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