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phnom_dek_slag_signatures</w:t>
      </w:r>
    </w:p>
    <w:p>
      <w:r>
        <w:t xml:space="preserve"> </w:t>
      </w:r>
    </w:p>
    <w:p>
      <w:pPr>
        <w:pStyle w:val="Heading2"/>
      </w:pPr>
      <w:r>
        <w:t>Title</w:t>
      </w:r>
    </w:p>
    <w:p>
      <w:r>
        <w:t>Phase-resolved geochemical and isotopic analysis to reconstruct smelting recipes and technological trajectories of iron production at Phnom Dek, Cambodia (7th–20th c. CE)</w:t>
      </w:r>
    </w:p>
    <w:p>
      <w:r>
        <w:t xml:space="preserve"> </w:t>
      </w:r>
    </w:p>
    <w:p>
      <w:pPr>
        <w:pStyle w:val="Heading2"/>
      </w:pPr>
      <w:r>
        <w:t>Short Hypothesis</w:t>
      </w:r>
    </w:p>
    <w:p>
      <w:r>
        <w:t>Systematic changes in smelting recipe parameters (notably CaO/SiO2 ratio and furnace redox) caused measurable shifts in slag major‑element composition and Fe isotope ratios at Phnom Dek, producing temporally separable compositional and isotopic clusters.</w:t>
      </w:r>
    </w:p>
    <w:p>
      <w:r>
        <w:t xml:space="preserve"> </w:t>
      </w:r>
    </w:p>
    <w:p>
      <w:pPr>
        <w:pStyle w:val="Heading2"/>
      </w:pPr>
      <w:r>
        <w:t>Related Work</w:t>
      </w:r>
    </w:p>
    <w:p>
      <w:r>
        <w:t>Existing approaches to archaeometallurgical provenance fall into several families: bulk chemical analysis (whole‑slag ICP), phase‑resolved microanalysis (EPMA, SEM‑BSE), spot geochemistry (LA‑ICP‑MS), Fe redox mapping (Mössbauer, XANES) and stable‑isotope provenance (Fe, Pb, Sr, Nd). Bulk analysis is simple but averages internal heterogeneity and can mask prill (metal droplet) signals. EPMA/SEM and LA‑ICP‑MS capture phase heterogeneity but often lack standardized slag reference materials and consistent internal standard strategies, causing inter‑lab bias. Fe redox studies provide oxidation state constraints but are rarely integrated with isotope priors or thermodynamic models. Isotope studies sometimes omit explicit leach validation and report inconsistent pre‑treatment, increasing contamination risk. Statistical treatments vary: some use raw ratios or clr transforms (centered log‑ratio) without full compositional data best practice; few employ ilr (isometric log ratio) space with Monte‑Carlo power analysis. Limitations across prior work include incomplete QA/QC, weak contamination controls, limited phase‑level isotope sampling, lack of validated in‑house slag CRMs, and insufficient integration of thermodynamic modeling with isotopic interpretation.</w:t>
      </w:r>
    </w:p>
    <w:p>
      <w:r>
        <w:t xml:space="preserve"> </w:t>
      </w:r>
    </w:p>
    <w:p>
      <w:pPr>
        <w:pStyle w:val="Heading2"/>
      </w:pPr>
      <w:r>
        <w:t>Abstract</w:t>
      </w:r>
    </w:p>
    <w:p>
      <w:r>
        <w:t>This study aims to document long‑term technological change in iron production at Phnom Dek (Cambodia, 7th–20th c. CE) by linking phase‑level slag chemistry, Fe redox state, and isotopic signatures to reconstructed smelting recipes. We apply a staged, pre‑registered workflow: non‑destructive screening (macroscopy, thin section, SEM) to define textural clusters; phase‑resolved EPMA and LA‑ICP‑MS for major and trace element mapping; Mössbauer spectroscopy and Fe K‑edge XANES for Fe3+/ΣFe (oxidation state) on specific phases; and Fe/Pb/Sr/Nd isotopes on mechanically cleaned interiors and prills. Compositional data will be analyzed in ilr (isometric log‑ratio) space and tested with Monte‑Carlo power simulations to set sample targets. Thermodynamic modeling (FactSage) and controlled experimental smelts will generate recipe priors to interpret isotope fractionation and phase assemblages. Main contributions: (1) validated leach and isotope SOPs for high‑Fe slags, (2) an integrated phase‑resolved geochemical + isotopic dataset for Phnom Dek, and (3) a reproducible statistical pipeline that links recipe variables (CaO/SiO2, redox) to measurable compositional and isotopic changes. Expected outcome: robust, testable maps of technological trajectories and recipe transmission at Phnom Dek.</w:t>
      </w:r>
    </w:p>
    <w:p>
      <w:r>
        <w:t xml:space="preserve"> </w:t>
      </w:r>
    </w:p>
    <w:p>
      <w:pPr>
        <w:pStyle w:val="Heading2"/>
      </w:pPr>
      <w:r>
        <w:t>Experiments</w:t>
      </w:r>
    </w:p>
    <w:p>
      <w:r>
        <w:t>Datasets: (1) Archaeological pilot: 30 thin sections with SEM mapping across contexts to define clusters. (2) Representative destructive suite: 50–70 slag samples allocated by cluster (minimum 3–5 per cluster) including 10–15 paired prill/slag samples (prill = entrapped metal droplet). (3) Reference set: 20 locally sourced ore and slag analogues. (4) Experimental smelts: 24–30 controlled smelts varying CaO/SiO2 bins (low &lt;0.30, mid 0.30–0.60, high &gt;0.60), fuel type (hardwood vs bamboo), tuyère airflow (1–3 L/s natural, 4–10 L/s forced). Laboratory methods: thin section petrography, SEM‑BSE/EDS phase mapping, EPMA (15 kV, 10–20 nA; glass defocused 10–20 µm; crystals 1–2 µm), LA‑ICP‑MS (193 nm, spot 50–120 µm, internal standard = EPMA SiO2 or CaO), bulk ICP‑MS/OES, Mössbauer (Co‑57, ±10 mm/s) and Fe K‑edge XANES. Isotope workflow: mechanical rind removal, ultrasonic H2O rinse, documented weak‑acetic leach with recorded mass loss, column chemistry for Fe/Pb/Sr/Nd, analysis on MC‑ICP‑MS (or TIMS specified per lab). Baselines: (A) bulk whole‑slag ICP without phase resolution; (B) compositional analyses using clr transforms; (C) no redox constraint (EPMA/Mössbauer/XANES omitted); (D) prill‑only subset. Evaluation metrics: adjusted Rand index (ARI) for cluster recovery against context labels, Mahalanobis distance effect size, classification accuracy and F1 for supervised assignment of samples to recipe bins, δ56Fe reproducibility (SD and bias), within‑sample variance (intra‑sample spot SD), Monte‑Carlo estimated power (α=0.05, target power=0.8), and p‑values from PERMANOVA for group separation. Experimental setup: run Monte‑Carlo simulations in ilr space with pilot covariance (seed fixed for reproducibility), test sample targets (25 slags/period default), and schedule analytical replicates: EPMA phases n≥3 spots per phase, LA‑ICP‑MS 6–10 spots per glass domain across three spatially separated areas, isotope procedural duplicates 10% of samples. Ablation/ablation‑fractionation ablation study: compare internal standard choices (EPMA SiO2 vs CaO vs synthetic glass) on identical spots; compare leach thresholds (≤1.0%, 1.0–3.0%, &gt;3.0%) by running isotope analyses on leachate and residue. Ablation/ablation scripts and data reduction versions (Iolite/Glitter) recorded. Comparison/ablation studies: (1) ilr vs clr vs raw ratios for clustering; (2) full phase‑resolved pipeline vs bulk baseline; (3) inclusion vs exclusion of Mössbauer/XANES redox priors; (4) prill‑only vs whole‑slag isotopic interpretations. All code, seeds and data schemas saved in versioned repository for reproducibility.</w:t>
      </w:r>
    </w:p>
    <w:p>
      <w:r>
        <w:t xml:space="preserve"> </w:t>
      </w:r>
    </w:p>
    <w:p>
      <w:pPr>
        <w:pStyle w:val="Heading2"/>
      </w:pPr>
      <w:r>
        <w:t>Risk Factors And Limitations</w:t>
      </w:r>
    </w:p>
    <w:p>
      <w:r>
        <w:t>1) Contamination and leach effects: weak‑acetic leaching may alter Fe isotopes; leach‑induced fractionation is a technical failure mode if not quantified. 2) Within‑sample heterogeneity: slags are internally variable; small numbers of spots or prills can misrepresent sample chemistry. 3) Sample size and statistical power: cluster count may exceed pilot estimates, reducing power and increasing Type II errors. 4) Analytical availability: limited beamtime (XANES/Mössbauer) or instrument downtime can delay redox and isotope data. 5) CRM and inter‑lab bias: absence of certified slag CRMs may leave residual matrix bias in LA and isotope data. 6) Model assumptions: Gaussian/multivariate normal assumption in ilr space may be violated, reducing validity of Mahalanobis‑based power estimates. 7) Legal/permit constraints: destructive sampling limits or export/import restrictions can reduce available sample splits. 8) Generalization limits: recipes and isotope priors derived for Phnom Dek may not transfer to other regions or ore types. 9) Computation: Monte‑Carlo simulations and error propagation require careful propagation of analytical uncertainties; large simulation runs increase compute time. 10) Chronological resolution: dating uncertainty (old‑wood effect, mixed contexts) may blur temporal assignment of technological change.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