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composite_bow_inference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Integrating micro-CT, proteomics, and hierarchical Bayesian radiocarbon modeling to reassess the presence and origins of full composite bows in ancient Eurasia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If an archaeological bow limb exhibits a continuous multi-material lamination (adhesive interface &gt;50 µm and laminae spanning ≥30% of limb length) and proteomic evidence of animal or fish glue, then a hierarchical Bayesian model that combines micro-CT, proteomics, and radiocarbon data will classify that object as a primary manufactured composite bow with ≥90% accuracy on blinded test sets.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combined iconography, isolated material analyses, micro-CT scans, and radiocarbon dating to argue for a Late Bronze Age origin and Near Eastern diffusion of full composite bows. Recent studies used higher-resolution imaging and Bayesian chronological models to tighten dating, and proteomics/ZooMS methods have been applied to adhesives and fittings in a few cases. Limitations remain: definitions of “composite” differ across studies; many claims rest on surface residues or single-method evidence; reservoir effects from aquatic adhesives are not consistently modeled; sample sizes and geographic coverage are small; validation against blind controls, degraded analogues, and experimental replicas is scarce; and interlab standards and quantitative likelihood estimates for imaging/proteomics signals are lacking. These weaknesses reduce reproducibility and make diffusion inferences uncertain.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inconsistent claims about the early presence and spread of full (horn–wood–sinew) composite bows in ancient Eurasia by combining three lines of evidence into a single, testable framework. We integrate micro-CT imaging (high-resolution X-ray scans that reveal internal structure), proteomic and lipid analyses of adhesives and facing (methods that identify animal or plant proteins and organic compounds), and calibrated radiocarbon dates in a hierarchical Bayesian model. The model treats imaging and molecular detections as empirical likelihood multipliers for object-level age estimates and outputs a composite_probability with uncertainty. Main contributions: (1) explicit operational diagnostic thresholds for CT and molecular signals, (2) an evidence-weighted Bayesian decision framework, and (3) a validation protocol using experimental replicas, degraded analogues, and blind archaeological controls. Expected outcome: a reproducible, probabilistic classification of composite bows that improves inference about origins and diffusion while quantifying uncertainty from reservoir effects, diagenesis, and sampling limitations.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Pilot archaeological set: 10–15 well‑provenanced specimens across Eurasia for method validation. (b) Comparative corpus: 40–60 archaeological specimens stratified by region and period. (c) Experimental replicas: 8–12 independent replicas per morphology/recipe variant (minimum 8), covering horn+wood+sinew recipes and adhesive variants (animal glue, fish glue, plant resin, mixed). (d) Degraded analogues: 30 artificially aged replicas (heat/humidity/time) across recipes. (e) Blind controls: 12 archaeological objects with withheld ground-truth labels for final testing. Baselines: (1) morphology-only rule (external shape and recurvature), (2) CT-only classifier, (3) proteomics-only classifier, (4) radiocarbon-only model, (5) simple decision-tree combining binary rules. Models and feature extraction: segment CT stacks to derive laminae_count, lamina_span_pct, adhesive_mean_thickness_um, attenuation contrast, fiber anisotropy; proteomic features: presence/absence of collagen I peptides, fish-specific peptides, diterpenoid/triterpenoid markers, semi-quantitative peptide/lipid ratios; radiocarbon: calibrated PDFs per component and component coherence flag. Primary classifier: hierarchical Bayesian model (Stan) combining calibrated radiocarbon PDFs with likelihood ratios LR_CT and LR_Prot estimated from validation data. Alternative classifiers: random forest and probabilistic decision tree for comparison. Evaluation metrics: ROC AUC, sensitivity, specificity, precision-recall, Brier score (calibration), credible interval coverage for composite_probability, confusion matrix on blind controls, and mechanical effect sizes (Cohen's d) for stiffness and stored energy with 80% power. Experimental protocol: (1) estimate LR_CT and LR_Prot using k-fold cross-validation (k=10) on labeled experimental replicas + degraded analogues; report ROC/PR curves and 95% CI for LRs. (2) Spike-in calibration: prepare adhesive mixtures with known aquatic fraction f_aq = {0,10,25,50,75,100}% and run proteomics/GC–MS to map MS signal ratios to mass fractions; include at least 5 replicates per mixture. (3) Run hierarchical Bayesian inference with and without ΔR modeling for samples flagged as aquatic (f_aq≥10%) and produce posterior composite_probability. (4) Ablation studies: remove CT (Bayes w/o LR_CT), remove proteomics (Bayes w/o LR_Prot), and compare to alternative classifiers. (5) Mechanical validation: test replicas (8–12 each) on universal tester for static stiffness, draw-curve, stored energy, energy transfer, and fatigue (500–1,000 cycles); perform blinded mechanical trials (operators unaware of construct) and report mean differences and survival curves. (6) Interlab blind ring test: distribute n=6 blinded adhesive/residue samples to ≥4 labs and compare species/adhesive assignment concordance.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Sampling permissions: lenders may deny destructive sampling; many inferences must rely on non-destructive scans or surface spectra. Diagenesis and contamination: adhesives and proteins degrade and may produce false negatives or misleading peptides; deamidation (a chemical change in proteins that indicates age) can help but is not definitive. Reservoir effects: aquatic-derived adhesives cause offsets in radiocarbon dates; spatial and temporal variation in ΔR (reservoir offset) complicates calibration and could bias ages. CT resolution and field-of-view trade-offs: whole-limb scans at 20 µm may miss very thin interfaces; higher resolution scans increase scanning time and may be impossible for large collections. Small sample sizes and geographic bias: limited specimens reduce statistical power and generalizability. Model identifiability: combining multiple evidence streams can produce non-identifiable parameter combinations without strong validation priors. Interlaboratory variation: proteomics and GC–MS semi-quantitation show lab-to-lab differences that affect estimation of aquatic fraction f_aq. Ethical and stakeholder constraints: museums and communities may restrict sampling or data sharing, which limits reproducibility. Computational cost: hierarchical Bayesian inference with many calibrated PDFs and mixture models can be computationally intensive and require careful convergence diagnostics.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