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western_europe_pleistocene_dispersal</w:t>
      </w:r>
    </w:p>
    <w:p>
      <w:r>
        <w:t xml:space="preserve"> </w:t>
      </w:r>
    </w:p>
    <w:p>
      <w:pPr>
        <w:pStyle w:val="Heading2"/>
      </w:pPr>
      <w:r>
        <w:t>Title</w:t>
      </w:r>
    </w:p>
    <w:p>
      <w:r>
        <w:t>Integrating multi-proxy Bayesian chronologies and spatial agent-based demographic models to test dispersal and population dynamics that produced the early–middle Pleistocene occupation gap in western Europe</w:t>
      </w:r>
    </w:p>
    <w:p>
      <w:r>
        <w:t xml:space="preserve"> </w:t>
      </w:r>
    </w:p>
    <w:p>
      <w:pPr>
        <w:pStyle w:val="Heading2"/>
      </w:pPr>
      <w:r>
        <w:t>Short Hypothesis</w:t>
      </w:r>
    </w:p>
    <w:p>
      <w:r>
        <w:t>Intermittent long-distance dispersal pulses with small founding group sizes caused reduced local carrying capacity and elevated local extinction rates, producing the observed chronological lag of persistent human occupations in western Europe relative to Asia.</w:t>
      </w:r>
    </w:p>
    <w:p>
      <w:r>
        <w:t xml:space="preserve"> </w:t>
      </w:r>
    </w:p>
    <w:p>
      <w:pPr>
        <w:pStyle w:val="Heading2"/>
      </w:pPr>
      <w:r>
        <w:t>Related Work</w:t>
      </w:r>
    </w:p>
    <w:p>
      <w:r>
        <w:t>Existing studies combine single-proxy chronologies (OSL, U-series/ESR) or isolated biomolecular analyses (ancient DNA, proteomics) with site-level paleoenvironmental reconstructions or simple population models. Spatial hypotheses have been tested using either correlative site-clustering statistics or coarse demographic models, but not with a reproducible pipeline that integrates high-resolution Bayesian age ensembles, multi-proxy derived productivity fields, and spatially explicit agent-based demography. Limitations include sparse and inconsistent dating density, variable QA/QC thresholds across labs, limited inter-lab calibration, weakly validated proxy→carrying-capacity transfer functions, small sample sizes per horizon, and lack of shared modelling code and seeds. These weaknesses reduce statistical power to distinguish single-wave vs multi-pulse dispersal scenarios and to attribute site absence/presence to demographic vs environmental drivers.</w:t>
      </w:r>
    </w:p>
    <w:p>
      <w:r>
        <w:t xml:space="preserve"> </w:t>
      </w:r>
    </w:p>
    <w:p>
      <w:pPr>
        <w:pStyle w:val="Heading2"/>
      </w:pPr>
      <w:r>
        <w:t>Abstract</w:t>
      </w:r>
    </w:p>
    <w:p>
      <w:r>
        <w:t>We address why western Europe shows a delayed pattern of persistent human occupation compared to Asia during the early to middle Pleistocene by combining multi-proxy paleoenvironmental data, rigorous chronological ensembles, and spatially explicit demographic simulation. The approach integrates: (1) Bayesian age ensembles for each horizon (a probabilistic age distribution for a sample), (2) multi-proxy transfer functions that convert pollen, biomarkers and sedaDNA into time-resolved carrying-capacity fields (estimates of local resource availability), and (3) agent-based metapopulation models (simulations of groups that move, reproduce and go extinct) to test dispersal scenarios (continuous wave, single pulse, multi-pulse with rare long jumps). Main contribution: a reproducible pipeline that propagates chronological and proxy uncertainty into demographic inference and quantifies the relative roles of dispersal mode and local productivity in producing the occupation gap. Expected outcome: explicit, testable ranking of dispersal scenarios with posterior estimates of dispersal kernel parameters, group sizes and local extinction rates, and empirical criteria linking archaeological site patterns to demographic processes.</w:t>
      </w:r>
    </w:p>
    <w:p>
      <w:r>
        <w:t xml:space="preserve"> </w:t>
      </w:r>
    </w:p>
    <w:p>
      <w:pPr>
        <w:pStyle w:val="Heading2"/>
      </w:pPr>
      <w:r>
        <w:t>Experiments</w:t>
      </w:r>
    </w:p>
    <w:p>
      <w:r>
        <w:t>Datasets: standardized inputs from 8–12 priority sites across western Europe, ~20 independently dated occupation horizons in total. Per-horizon inputs: Bayesian age ensemble CSV (YearBP,Prob), GeoJSON site/sample metadata, GeoTIFF productivity rasters derived from proxy transfer functions, biomolecular summaries (aDNA endogenous %, proteomics IDs), and refit/taphonomy summary CSVs. Sample-level targets: OSL single-grain collection per sample ≥1500 grains aiming for ≥200 usable grains and ≥15% usable retention after filtering; aDNA: petrous powder target 50 mg per extract, tooth dentine/cementum 30–50 mg per extract; proteomics: 10–20 mg bone/tooth powder per run. Baselines: (A) chronology-only null model (sites placed by age ensembles alone), (B) environment-only occupancy model (thresholded productivity), (C) continuous-wave dispersal agent model, (D) multi-pulse dispersal agent model with fat-tailed kernel. Experimental setup: containerized (Docker) code, public Git repository, fixed random seeds, run ensembles of 1,000, 3,000 and 5,000 model realizations per scenario. Inter-lab calibration: blind replicates n=5 per lab for OSL, ESR and aDNA; record offsets. Evaluation metrics: Bayes factors and WAIC for model comparison, power (proportion of simulations correctly classifying true scenario) aiming ≥80%, posterior credible interval width for dispersal median and tail parameters, occupancy ROC/AUC for site presence/absence, KS test comparing observed vs predicted refit-distance distributions, proportion of horizons with overlapping 95% age intervals (chronological reproducibility). Ablation studies: (1) remove biomolecular constraints (aDNA/proteomics) to assess their contribution; (2) remove proxy→carrying-capacity mapping to test sensitivity to productivity inference; (3) vary prior on group size (median 5 vs 12 vs 25) to test Allee effect influence. Rejection and QA thresholds encoded: aDNA mtDNA contamination (schmutzi) &lt;5% to accept, shotgun endogenous desirable ≥0.5% else require capture if ≥0.05%; OSL single-grain equivalent-dose precision (1σ) target &lt;10% and dose-recovery within 10%; library and extraction blanks endogenous reads ≤1% accept, 1–3% flag and replicate, &gt;5% reject. Deliverables: reproducible posterior model ensembles, scenario ranking, sensitivity reports, and site-level likelihood contributions.</w:t>
      </w:r>
    </w:p>
    <w:p>
      <w:r>
        <w:t xml:space="preserve"> </w:t>
      </w:r>
    </w:p>
    <w:p>
      <w:pPr>
        <w:pStyle w:val="Heading2"/>
      </w:pPr>
      <w:r>
        <w:t>Risk Factors And Limitations</w:t>
      </w:r>
    </w:p>
    <w:p>
      <w:r>
        <w:t>Technical failure modes: low biomolecular preservation (shotgun endogenous &lt;0.05%) or OSL samples with &lt;15% usable grains can prevent molecular or precise dating constraints. Data biases: uneven site sampling and preservation may bias inferred dispersal routes or carrying-capacity estimates. Proxy limitations: proxy→carrying-capacity transfer functions for early Pleistocene conditions are uncertain and may not generalize from modern calibration datasets. Inter-lab variability: systematic lab offsets in OSL, ESR or aDNA can bias integrated results if calibration fails. Scalability and compute: running 1,000–5,000 ensemble simulations with spatial grids and uncertainty propagation requires substantial CPU and storage; limited compute reduces ensemble size and power. Statistical limits: equifinality (different parameter combinations producing similar occupation patterns) can limit uniquely identifying dispersal kernels or Allee thresholds. Generalization: results apply to the chosen sites and time windows and may not generalize to other regions or later time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