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english_policy_misrecognition_bgd</w:t>
      </w:r>
    </w:p>
    <w:p>
      <w:r>
        <w:t xml:space="preserve"> </w:t>
      </w:r>
    </w:p>
    <w:p>
      <w:pPr>
        <w:pStyle w:val="Heading2"/>
      </w:pPr>
      <w:r>
        <w:t>Title</w:t>
      </w:r>
    </w:p>
    <w:p>
      <w:r>
        <w:t>A mixed-methods randomized vignette experiment and thematic analysis of how development-framed English-in-education policy affects misrecognition among low-SES students and parents in a Bangladeshi school</w:t>
      </w:r>
    </w:p>
    <w:p>
      <w:r>
        <w:t xml:space="preserve"> </w:t>
      </w:r>
    </w:p>
    <w:p>
      <w:pPr>
        <w:pStyle w:val="Heading2"/>
      </w:pPr>
      <w:r>
        <w:t>Short Hypothesis</w:t>
      </w:r>
    </w:p>
    <w:p>
      <w:r>
        <w:t>Exposure to development-framed English-in-education policy texts increases reported misrecognition (lower perceived recognition and school belonging) among low-SES students and parents compared to exposure to neutral or recognition-framed policy texts.</w:t>
      </w:r>
    </w:p>
    <w:p>
      <w:r>
        <w:t xml:space="preserve"> </w:t>
      </w:r>
    </w:p>
    <w:p>
      <w:pPr>
        <w:pStyle w:val="Heading2"/>
      </w:pPr>
      <w:r>
        <w:t>Related Work</w:t>
      </w:r>
    </w:p>
    <w:p>
      <w:r>
        <w:t>Existing work links language-in-education policy to economic human capital, sociolinguistic analyses of governmentality, and critiques of misrecognition in education. Prior empirical approaches are mainly observational policy analyses or qualitative case studies that show associations between policy language and educational inequality but rarely establish causal effects. Measurement efforts rarely provide validated, multilingual scales of recognition, so comparisons across groups are weak. Automated policy classification exists but often lacks community-grounded gold standards and external validation, producing biased classifications in underrepresented languages or rare categories. Mixed-methods studies typically lack prespecified decision rules for adjudicating divergent strands and do not integrate psychometric validation, causal identification strategies, and participatory governance in a single protocol. These gaps limit causal inference, reproducibility, and equity-focused interpretation.</w:t>
      </w:r>
    </w:p>
    <w:p>
      <w:r>
        <w:t xml:space="preserve"> </w:t>
      </w:r>
    </w:p>
    <w:p>
      <w:pPr>
        <w:pStyle w:val="Heading2"/>
      </w:pPr>
      <w:r>
        <w:t>Abstract</w:t>
      </w:r>
    </w:p>
    <w:p>
      <w:r>
        <w:t>This study tests whether framing English-in-education policy as a tool for individual or social development causes increased experiences of misrecognition among low-socioeconomic-status students and their parents. We combine a randomized vignette experiment (short policy texts shown to participants) with thematic interviews and focus groups at one Bangladeshi school. We develop and validate a multilingual recognition scale (exploratory and confirmatory factor analysis, item response diagnostics) and apply automated and manual coding of policy texts linked to classroom vignettes. The main contribution is a preregistered, testable design that estimates causal effects of policy framing on perceived recognition, school belonging, and motivation, and that triangulates quantitative effects with thick qualitative descriptions. Expected outcomes include validated measurement instruments, estimates of causal effects of policy framing, and an integrated interpretive protocol documenting how policy language maps to lived experience among low-SES families. Results will inform equitable language-policy design and evaluation.</w:t>
      </w:r>
    </w:p>
    <w:p>
      <w:r>
        <w:t xml:space="preserve"> </w:t>
      </w:r>
    </w:p>
    <w:p>
      <w:pPr>
        <w:pStyle w:val="Heading2"/>
      </w:pPr>
      <w:r>
        <w:t>Experiments</w:t>
      </w:r>
    </w:p>
    <w:p>
      <w:r>
        <w:t>Phase 1 — Measurement and qualitative seed data: life-history interviews N=30-40 (students, parents, teachers); cognitive interviews per language 10-15; pilot recognition scale n=120 students per language for EFA. Psychometrics: report omega (internal consistency), CFA fit (CFI/TLI&gt;0.95, RMSEA&lt;0.06), IRT item information, DIF (item bias) and MIMIC diagnostics. Phase 2 — Randomized vignette experiment: three-arm between-subjects design (development-framed policy text; neutral policy text; recognition-framed policy text). Vignette experiment populations: students n=390 (130 per arm) and parents n=195 (65 per arm). Primary outcome: student perceived recognition scale measured one week after exposure (continuous latent score). Secondary outcomes: school belonging scale, language-learning motivation (Likert), parental intended school support (Likert). Analysis: linear regressions of outcome on treatment indicators with pre-specified covariates (age, gender, EAL status, FSM proxy), report standardized effect sizes (Cohen's d), 95% CI and p-values. Mediation: causal mediation analysis (Imai-style) estimating indirect effect of treatment on motivation through perceived recognition; report quasi-Bayesian CIs and VanderWeele sensitivity bounds (numeric scenarios). Baselines and comparisons: qualitative-coded descriptors (manual thematic codes) and two automated classifiers for policy segments: (a) rule-based keyword tagger, (b) supervised transformer model trained on 1,500 labeled segments including 200 community-annotated vignettes. Evaluation metrics: primary test is difference in means for primary outcome; psychometric thresholds (omega&gt;=0.70); inter-rater reliability Cohen's kappa&gt;=0.70 for manual codes; classifier targets precision/recall&gt;=0.80 for main classes and AUC&gt;=0.85. Ablations: (1) remove community-adapted items from scale and re-run CFA; (2) compare classifier performance with vs without community-annotated vignettes; (3) mediation with and without sensitivity bounds. Pre-registration: declare single primary outcome and estimand, fixed-effect structure, covariates, clustering level, and multiple-testing correction (BH-FDR). Power note: planned student sample (n=390) aims to detect d≈0.35 at 80% power, two-sided alpha=0.05. Phase 3 — Integration: produce joint displays and a documented adjudication record if quantitative and qualitative strands diverge.</w:t>
      </w:r>
    </w:p>
    <w:p>
      <w:r>
        <w:t xml:space="preserve"> </w:t>
      </w:r>
    </w:p>
    <w:p>
      <w:pPr>
        <w:pStyle w:val="Heading2"/>
      </w:pPr>
      <w:r>
        <w:t>Risk Factors And Limitations</w:t>
      </w:r>
    </w:p>
    <w:p>
      <w:r>
        <w:t>1) Causal identification limits: single-school field site restricts external generalizability and prevents strong population-level causal claims; staggered or contextual spillovers (students talk to each other) can violate no-interference assumptions (SUTVA). 2) TWFE bias risk if future designs use panel DiD with staggered adoption: heterogeneous treatment effects may bias two-way FE estimates. 3) Small-sample psychometrics: subgroup invariance tests require larger per-language Ns; failure to reach targets undermines cross-language comparability. 4) Measurement error: misclassification in policy coding and scale items can bias effect estimates. 5) Missing data and non-ignorable dropout (MNAR): attrition by SES or motivation may bias results. 6) Classifier bias: automated models can underperform on rare classes or minority-language segments, producing unequal error rates across groups. 7) Ethical and safeguarding constraints: working with minors requires strong consent, child-safeguarding and DPIA procedures; community expectations about publication may restrict dissemination. 8) Interpretation limits: mediation estimates require untestable assumptions (no unmeasured mediator-outcome confounding); sensitivity analyses may be inconclusive. 9) Resource limits: annotated corpus, classifier training and psychometric pilots demand time and funding; compute limits may constrain transformer training. 10) Generalization: findings from one Bangladeshi school may not transfer to other regions, curricula, or policy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