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artificial_creativity</w:t>
      </w:r>
    </w:p>
    <w:p>
      <w:r>
        <w:t xml:space="preserve"> </w:t>
      </w:r>
    </w:p>
    <w:p>
      <w:pPr>
        <w:pStyle w:val="Heading2"/>
      </w:pPr>
      <w:r>
        <w:t>Title</w:t>
      </w:r>
    </w:p>
    <w:p>
      <w:r>
        <w:t>Evaluating whether opaque generative AI outputs qualify as creative using cross-modal semantic-trajectory metrics and Bayesian human evaluation</w:t>
      </w:r>
    </w:p>
    <w:p>
      <w:r>
        <w:t xml:space="preserve"> </w:t>
      </w:r>
    </w:p>
    <w:p>
      <w:pPr>
        <w:pStyle w:val="Heading2"/>
      </w:pPr>
      <w:r>
        <w:t>Short Hypothesis</w:t>
      </w:r>
    </w:p>
    <w:p>
      <w:r>
        <w:t>If an AI model's outputs introduce canonical concept nodes absent from its training semantic graph and exceed the modality-specific 95th-percentile semantic-trajectory distance while receiving at least two-thirds human judgments of a novel affordance, then those outputs will have a higher latent creativity Value (posterior) than outputs from baseline models.</w:t>
      </w:r>
    </w:p>
    <w:p>
      <w:r>
        <w:t xml:space="preserve"> </w:t>
      </w:r>
    </w:p>
    <w:p>
      <w:pPr>
        <w:pStyle w:val="Heading2"/>
      </w:pPr>
      <w:r>
        <w:t>Related Work</w:t>
      </w:r>
    </w:p>
    <w:p>
      <w:r>
        <w:t>Existing work on artificial creativity uses generative models (image diffusion, autoregressive text and music models) and automated novelty/novelty-proxy measures based on embedding distances. Prior evaluation approaches rely on semantic pipelines, single-embedding novelty scores, or simple human ratings. Limitations include: (1) single-embedding metrics are brittle and vary by model and modality, (2) lack of canonicalized semantic graphs linking outputs to training content, causing ambiguous ‘‘newness’’ claims, (3) sparse use of hierarchical statistical models that combine multiple proxies with human ratings and propagate uncertainty, (4) insufficient adversarial testing and null baselines to detect gaming, and (5) weak cross-modal comparability because metrics and annotation schemas differ across images, music, and text.</w:t>
      </w:r>
    </w:p>
    <w:p>
      <w:r>
        <w:t xml:space="preserve"> </w:t>
      </w:r>
    </w:p>
    <w:p>
      <w:pPr>
        <w:pStyle w:val="Heading2"/>
      </w:pPr>
      <w:r>
        <w:t>Abstract</w:t>
      </w:r>
    </w:p>
    <w:p>
      <w:r>
        <w:t>This study tests whether outputs from opaque generative AI systems can be considered creative by combining a canonical semantic-graph approach, ensemble embedding trajectory metrics, adversarial tests, and a hierarchical Bayesian human-evaluation model. We build modality-specific semantic graphs (canonical IDs for concepts/entities) and detect ‘‘new-node’’ candidates when output concepts are absent from training graphs. We measure semantic-trajectory distance using an ensemble of embeddings and define transformational creativity when distance exceeds the 95th percentile and human coders report a new affordance. We pre-register a Bayesian latent-value model that fuses proxy metrics and human ratings and requires ≥95% posterior probability for model superiority on a sealed human-eval set. Contributions: (1) a reproducible operationalization of transformational creativity, (2) a composite, uncertainty-aware statistical decision rule, and (3) an adversarial test suite and canonicalization pipeline to limit gaming and ambiguity. Expected outcome: clear, testable criteria that separate mere recombination from outputs that reliably behave as novel, human-validated creative artifacts.</w:t>
      </w:r>
    </w:p>
    <w:p>
      <w:r>
        <w:t xml:space="preserve"> </w:t>
      </w:r>
    </w:p>
    <w:p>
      <w:pPr>
        <w:pStyle w:val="Heading2"/>
      </w:pPr>
      <w:r>
        <w:t>Experiments</w:t>
      </w:r>
    </w:p>
    <w:p>
      <w:r>
        <w:t>Datasets: images = WikiArt plus a curated contemporary image subset (public-domain/CC when possible); music = MAESTRO or MusicNet (symbolic or short clips); text = curated poetry/short-fiction corpus (public-domain and licensed samples). Baselines: image baselines = VQ-VAE+Transformer, latent diffusion (CLIP-guided); music baselines = Music Transformer + symbolic VAE; text baselines = GPT-2-medium and conditional VAE. Evaluation metrics: latent Value posterior (Bayesian latent-variable model), mean human Novelty/Surprise/Value Likert ratings, Transformational binary label agreement, inter-rater ICC(2,k) absolute agreement, semantic-trajectory ROC AUC for heldout novelty, metric↔human Pearson/Spearman r, adversarial stability (percentile shift under constrained attacks), and retrieval R@1/R@5 for alignment quality. Sample sizes and setup: pilot per modality N≈30–80 stimuli; main collection per modality ≈100 stimuli each rated by 10–20 raters (total ≈1000–2000 ratings); between-arm contrasts require ≈64 participants per arm for d=0.5. Statistical model: pre-register Bayesian hierarchical latent-variable model with priors (standardized loadings ~ Normal(0,1); intercepts ~ StudentT(3,0,2.5); group SDs ~ Half-Cauchy(0,2); correlation priors ~ LKJ(2)); MCMC settings = 4 chains, 2000 warmup, 2000 sampling, adapt_delta=0.95, max_treedepth=15. Decision rule: require ≥95% posterior probability that model Value &gt; baseline on sealed human-eval. Ablations and comparisons: (A) remove embedding ensemble (single-embedding vs ensemble), (B) disable canonicalization (raw tokens only), (C) vary semantic-trajectory threshold (95th vs 90th vs calibrated ROC threshold), (D) test with and without adversarial defenses, (E) alternate alignment methods (Orthogonal Procrustes vs CCA vs small contrastive finetune). Adversarial tests: null baselines (shuffle, nearest-neighbor copy), white-box gradient and black-box genetic attacks constrained by perceptual bounds (images: LPIPS/SSIM/L2 caps; audio: cochleagram/tempo constraints; text: max edit fraction and SBERT similarity floor). Reporting: posterior medians and 95% credible intervals for Value, Bayes factors, FDR-controlled exploratory tests, and full adversarial sensitivity grids.</w:t>
      </w:r>
    </w:p>
    <w:p>
      <w:r>
        <w:t xml:space="preserve"> </w:t>
      </w:r>
    </w:p>
    <w:p>
      <w:pPr>
        <w:pStyle w:val="Heading2"/>
      </w:pPr>
      <w:r>
        <w:t>Risk Factors And Limitations</w:t>
      </w:r>
    </w:p>
    <w:p>
      <w:r>
        <w:t>Canonicalization ambiguity: entity linking (Wikidata/Getty AAT/WordNet/Music Ontology) can produce false links or low coverage, causing false new-node detections. Human annotation variance: rater bias, cultural differences, and low ICC can reduce reliability. Metric brittleness: embedding families differ by modality and can change thresholds or rankings. Gaming and overfitting: adversarial attacks or leaderboard peeking may inflate automated metrics. Compute and scale: ensemble embeddings, MCMC sampling, and model training require substantial GPU time and storage. Licensing and provenance: some datasets or embedding models have restrictive licenses that limit release. Cross-modal generalization: thresholds, affordance interpretation, and semantic graphs may not map cleanly between images, music, and text. Threshold sensitivity: the choice of a 95th-percentile threshold is arbitrary without calibration and may produce false positives or negatives depending on domain. Interpretability limits: even if an output passes operational tests, philosophical or normative claims about creativity remain contested and not fully resolved by empirical criteria.</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