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social_cohesion_measure_africa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Multilevel latent-variable measurement of social cohesion in Africa using Afrobarometer household surveys and V-Dem expert indicators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Combining household-level Afrobarometer responses with country-level V-Dem expert indicators in a multilevel latent-variable model causes more measurement invariance across language, gender, and identity groups and yields higher predictive validity for cooperation and equitable service access than indices derived from either source alone.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measure social cohesion with single-source surveys, simple composite indices, or country-level expert ratings. Household surveys (e.g., Afrobarometer) capture individual attitudes and behaviors but face response bias, limited cross-language comparability, and small-group power problems. Expert datasets (e.g., V-Dem) provide institutional and country-level context but miss within-country heterogeneity. Psychometric methods used previously include classical scale scores, single-level factor analysis, and simple weighting; these methods often assume measurement invariance (the idea that items mean the same across groups) and ignore multilevel structure. Limitations include weak cross-group comparability, poor handling of hierarchical data (individuals nested in communities and countries), ad hoc item weighting, and insufficient treatment of sensitive items (GBV) and social desirability. There is a need for a reproducible, preregistered multilevel measurement strategy that explicitly models individual, community and institutional variance and tests comparability across subgroups.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measuring social cohesion in African countries with a reproducible, theory‑linked method that handles individual, community and country variation. We propose a multilevel latent-variable strategy that combines household responses from Afrobarometer with country-level expert indicators from V-Dem to estimate latent scores for three core attributes: inclusive identity, trust, and cooperation for the common good. Latent-variable models (statistical models that infer unobserved traits from observed responses) will be fitted as multilevel confirmatory factor analysis and graded-response item response theory to separate individual, community and institutional variance. The main contribution is a prespecified pipeline for index construction, invariance testing across language, gender and identity groups, and validation against behavioral benchmarks and administrative service data. Expected outcomes include a replicable indicator set for Africa, empirical evidence on measurement invariance, and demonstration that combined multilevel measurement improves prediction of cooperative behavior and equitable access to institutions relative to single-source indices.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Afrobarometer household rounds covering chosen pilot countries (baseline and follow-ups where available); V-Dem country-year indicators matched to survey timing; administrative service access records where available; pilot behavioral subsample (n≈200) with trust/redistribution games and ego-network modules. Baselines: (1) Afrobarometer-only composite (equal-weighted), (2) V-Dem-only composite, (3) single-level CFA on pooled household items, (4) preregistered transparent composite index (equal weights within sub-dimensions). Proposed models: multilevel CFA (individuals within communities within countries), multilevel graded-response IRT (items treated as ordered categories), alignment optimization and Bayesian approximate invariance for noninvariance, and CHOPIT/hierarchical ordered probit for anchoring-vignette correction (CHOPIT: model that adjusts for different response scales across respondents). Evaluation metrics: measurement invariance tests (ΔCFI, ΔRMSEA, ΔSRMR thresholds), item discrimination and information (IRT a-parameters and item information function), reliability (omega hierarchical), DIF detection rates and effect sizes, predictive validity (AUC, RMSE, R²) for behavioral cooperation measures and administrative service access at individual and community levels, calibration of latent means against external benchmarks, and analytic utility of synthetic microdata (marginal RMSE and propensity-score MSE). Experimental setup: split-sample validation (70% train for model estimation, 30% test for predictive validity), cluster-robust standard errors, multilevel multiple imputation for missing data, pre-registered pruning rules (retain loadings ≥0.40, IRT discrimination ≥0.60), and prespecified subgroup analyses (gender, language, ethnicity, urban/rural). Ablations: remove anchoring vignettes and compare CHOPIT-adjusted vs unadjusted results; run models with Afrobarometer-only vs combined Afrobarometer+V-Dem; exclude ACASI-flagged sensitive items to test their impact. Reported outputs: full reproducible code, pruning log, and comparison tables of metrics above.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failures: multilevel models may not converge or provide unstable estimates with small numbers of clusters or high ICCs (intra-cluster correlation). Data biases: Afrobarometer self-reports can suffer social desirability and nonresponse, and V-Dem expert ratings may reflect expert bias or low within-country sensitivity. Small-group power: subgroup sample sizes (minorities, languages) may be too small for robust DIF detection or invariance testing. Measurement limits: some items may be noninvariant across languages and cannot be fully corrected, limiting cross-group comparisons. Ethical and field risks: weak GBV referral services in some sites may make sensitive modules unsafe. Privacy and disclosure: synthetic-data methods may not fully prevent re-identification, especially for small subgroups. Scalability and compute: graded-response IRT and Bayesian approximate invariance at multiple levels require substantial computation and may be slow on limited hardware. Generalization: pilot-country results may not generalize to all African contexts due to cultural and institutional diversity.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