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effort_resistance_accumulator</w:t>
      </w:r>
    </w:p>
    <w:p>
      <w:r>
        <w:t xml:space="preserve"> </w:t>
      </w:r>
    </w:p>
    <w:p>
      <w:pPr>
        <w:pStyle w:val="Heading2"/>
      </w:pPr>
      <w:r>
        <w:t>Title</w:t>
      </w:r>
    </w:p>
    <w:p>
      <w:r>
        <w:t>A multimodal generative accumulator model of subjective effort onset testing resistance to affective behaviour‑guiding signals</w:t>
      </w:r>
    </w:p>
    <w:p>
      <w:r>
        <w:t xml:space="preserve"> </w:t>
      </w:r>
    </w:p>
    <w:p>
      <w:pPr>
        <w:pStyle w:val="Heading2"/>
      </w:pPr>
      <w:r>
        <w:t>Short Hypothesis</w:t>
      </w:r>
    </w:p>
    <w:p>
      <w:r>
        <w:t>Stronger affective behaviour‑guiding signals (e.g., increased hunger, pain, fatigue, or temptation) cause earlier subjective effort onset because resisting those signals increases the accumulation rate of an interoceptive‑resistance accumulator, yielding earlier motor‑corrected reported onsets.</w:t>
      </w:r>
    </w:p>
    <w:p>
      <w:r>
        <w:t xml:space="preserve"> </w:t>
      </w:r>
    </w:p>
    <w:p>
      <w:pPr>
        <w:pStyle w:val="Heading2"/>
      </w:pPr>
      <w:r>
        <w:t>Related Work</w:t>
      </w:r>
    </w:p>
    <w:p>
      <w:r>
        <w:t>Existing approaches explain effort in two broad families. Cost‑based accounts (control‑cost and opportunity‑cost models) treat effort as a signal of control expenditure or foregone alternatives; these models predict effort from task demand, reward, and average reward rate but often do not link to moment‑by‑moment subjective onset. Interoceptive and active‑inference views propose accumulator or prediction‑error processes that integrate internal bodily signals, but prior work typically studies interoception separately from control demand and rarely unifies mental and physical effort. Empirical studies use single modalities (behavioral RTs, pupil, heart rate, skin conductance, or fMRI) and often ignore motor reporting delays and censoring from no‑report trials. Generative first‑passage models have been applied to decision latency but are underused for subjective phenomenology. Limitations: lack of joint multimodal generative tests, insufficient handling of motor latency and censoring, weak priors for covariance structures causing identifiability problems, and sparse cross‑validation rules to adjudicate hybrid models versus simpler cost‑only explanations.</w:t>
      </w:r>
    </w:p>
    <w:p>
      <w:r>
        <w:t xml:space="preserve"> </w:t>
      </w:r>
    </w:p>
    <w:p>
      <w:pPr>
        <w:pStyle w:val="Heading2"/>
      </w:pPr>
      <w:r>
        <w:t>Abstract</w:t>
      </w:r>
    </w:p>
    <w:p>
      <w:r>
        <w:t>We address when people report feeling effort by proposing a multimodal generative accumulator model in which the subjective experience of effort arises from resisting affective behaviour‑guiding signals (hunger, pain, fatigue, anxiety, temptation). The model treats effort onset as a first‑passage event of an interoceptive‑resistance accumulator that integrates prediction errors from bodily signals and contributions from control and opportunity‑cost channels. We combine high‑resolution peripheral physiology (pupil, ECG/HRV, SCR, respiration, EMG), EEG/fMRI where available, and a motor‑latency calibration to obtain motor‑corrected subjective onset times. Main contributions: (1) a jointly specified generative model that links latent accumulators to multimodal observables with explicit latency kernels, (2) pre‑registrable priors and censored survival likelihoods for no‑report trials, and (3) a concrete experimental and model‑comparison pipeline to test whether resisting affective signals predicts subjective onset better than cost‑based alternatives. Expected outcome: clear, testable separation between resistance‑driven onset dynamics and cost/opportunity‑cost models, with identifiable physiological signatures aligned to reported effort.</w:t>
      </w:r>
    </w:p>
    <w:p>
      <w:r>
        <w:t xml:space="preserve"> </w:t>
      </w:r>
    </w:p>
    <w:p>
      <w:pPr>
        <w:pStyle w:val="Heading2"/>
      </w:pPr>
      <w:r>
        <w:t>Experiments</w:t>
      </w:r>
    </w:p>
    <w:p>
      <w:r>
        <w:t>Design: within‑subject factorial manipulation of affective signal strength and control demand. Factors: affective signal strength (low/high; implemented via mild hunger induction or symbolic temptation cues for mental tasks), control demand (low/high), reward magnitude (low/high), and background opportunity cost (low/high alternative reward rate). Sessions: pilot N=24, confirmatory N=40–60. Trials: collect 75 trials per condition to obtain ~60 usable trials after ~20% loss. Motor calibration: 40 simple‑reaction trials (visual flash → press, foreperiod 500–1500 ms) + 20 mimed trials (auditory cue → mimic without contact) to estimate per‑subject δ_motor as median mimed RT; exclude subjects with δ_motor &gt;500 ms or &gt;15% invalid calibration trials. Sensors: pupil (500–1000 Hz), ECG (500–1000 Hz), SCR, respiration, EMG (task dependent), EEG ≥1000 Hz when available; fMRI multiband TR ≤1.0 s for imaging arm. Models to fit: (A) EVC/control‑cost accumulator, (B) opportunity‑cost accumulator, (C) interoceptive‑resistance accumulator, (D) convex hybrid Z_t = w1·X_t + w2·Y_t + w3·I_t with w Dirichlet(1). Observation models: t_press = t_onset_true + δ_motor + ε_motor (compare shifted‑Wald, ex‑Gaussian, log‑normal); physiology y_c(t) = A_c · (h_c ⊛ f_c(latent,u)) + AR(1) noise with latency τ_c. Inference: hierarchical Bayesian fits (Stan/PyMC) with pre‑registered numeric priors and LKJ correlation priors; 10‑fold CV stratified by subject and PSIS‑LOO diagnostics. Evaluation metrics: primary behavioral metric motor‑corrected subjective onset latency t_onset_corr; model fit PSIS‑LOO and ΔPSIS‑LOO (Δ&gt;10 meaningful, &gt;20 strong); held‑out onset RMSE and mean absolute error; parameter recovery RMSE ≤0.10 (SD units), bias &lt;5%, 95% CI coverage 0.90–0.99; physiological latency RMSE ≤100 ms. Baselines: null (no latent accumulator), pure EVC, pure opportunity‑cost. Ablations: hybrid without interoceptive component (w3=0), model without motor‑correction, censoring vs exclusion for no‑report trials, alternate kernel h_c (exponential vs gamma). Decision rules: prefer simpler model unless hybrid yields ΔPSIS‑LOO &gt;10 and held‑out improvement d ≥0.2. Cross‑modal tests: compare ROI activations time‑locked to t_onset_corr and model‑derived change‑points.</w:t>
      </w:r>
    </w:p>
    <w:p>
      <w:r>
        <w:t xml:space="preserve"> </w:t>
      </w:r>
    </w:p>
    <w:p>
      <w:pPr>
        <w:pStyle w:val="Heading2"/>
      </w:pPr>
      <w:r>
        <w:t>Risk Factors And Limitations</w:t>
      </w:r>
    </w:p>
    <w:p>
      <w:r>
        <w:t>Technical failures: MCMC non‑convergence or high posterior correlations causing non‑identifiability; heavy tails in motor latency violating observation families; hardware timing/synchronization errors across devices. Data and evaluation biases: calibration may not capture true motor delays for older or clinical participants; missingness MNAR if subjects stop reporting when effort is high leading to biased onset estimates. Scalability and compute: hierarchical multimodal fits and parameter recovery simulations require substantial CPU/GPU resources and wall time; fallback VI may be less accurate. Generalizability limits: lab manipulations of affective signals may not match real‑world effortors; cross‑species mapping is limited by differences in subjective report. Safety and ethical constraints: pharmacological or TMS arms require IRB/DSMB approval and may restrict participant pools. Measurement limits: physiological latencies vary across channels and individuals, limiting temporal precision; small‑volume neuromelanin LC imaging and single‑trial fMRI estimates may lack power in moderate sample sizes.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