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history_therapy_framework</w:t>
      </w:r>
    </w:p>
    <w:p>
      <w:r>
        <w:t xml:space="preserve"> </w:t>
      </w:r>
    </w:p>
    <w:p>
      <w:pPr>
        <w:pStyle w:val="Heading2"/>
      </w:pPr>
      <w:r>
        <w:t>Title</w:t>
      </w:r>
    </w:p>
    <w:p>
      <w:r>
        <w:t>History Therapy: integrating curated historical worldviews with guided clinical reflection to support meaning-making and improve psychological well-being</w:t>
      </w:r>
    </w:p>
    <w:p>
      <w:r>
        <w:t xml:space="preserve"> </w:t>
      </w:r>
    </w:p>
    <w:p>
      <w:pPr>
        <w:pStyle w:val="Heading2"/>
      </w:pPr>
      <w:r>
        <w:t>Short Hypothesis</w:t>
      </w:r>
    </w:p>
    <w:p>
      <w:r>
        <w:t>Structured exposure to curated alternative historical worldviews combined with guided clinical reflection causes greater post-treatment improvement in meaning and purpose (PROMIS T-score) than a control intervention without historical exposure.</w:t>
      </w:r>
    </w:p>
    <w:p>
      <w:r>
        <w:t xml:space="preserve"> </w:t>
      </w:r>
    </w:p>
    <w:p>
      <w:pPr>
        <w:pStyle w:val="Heading2"/>
      </w:pPr>
      <w:r>
        <w:t>Related Work</w:t>
      </w:r>
    </w:p>
    <w:p>
      <w:r>
        <w:t>Existing approaches combine narrative therapies (therapies that use personal stories), life-review and reminiscence techniques (structured recall of life events), bibliotherapy (therapeutic reading), and meaning-centered psychotherapies (interventions that target purpose and meaning). Digital humanities and archival curation enable access to historical materials but are rarely integrated into clinical care. Prior work measuring meaning often uses PROMIS instruments and common mental health measures (PHQ-9, GAD-7). Limitations across these approaches: most focus on personal biography rather than exposure to alternative historical worldviews; protocols lack standardized, replicable procedures for selecting and presenting historical artifacts; narrative-coherence measurement is underdefined and inconsistently operationalized; small sample sizes and limited clustering/therapist-effects accounting reduce generalizability; few studies link psychometrics to physiological biomarkers; and data-governance (privacy, provenance, community rights) is often under-specified.</w:t>
      </w:r>
    </w:p>
    <w:p>
      <w:r>
        <w:t xml:space="preserve"> </w:t>
      </w:r>
    </w:p>
    <w:p>
      <w:pPr>
        <w:pStyle w:val="Heading2"/>
      </w:pPr>
      <w:r>
        <w:t>Abstract</w:t>
      </w:r>
    </w:p>
    <w:p>
      <w:r>
        <w:t>Problem: Interventions for meaning and well-being rarely use curated historical worldviews as catalysts for self-reflection, and existing methods lack structured, replicable procedures and governance. Approach: We propose History Therapy, an interdisciplinary method that pairs curated archival worldviews and provenance context with guided clinical reflection. The pilot tests structured exposure protocols, a preregistered analysis using PROMIS Meaning &amp; Purpose as primary outcome, a narrative-coherence coding system (0–21 scale), and optional physiological measures (HRV, cortisol) to explore mechanisms. Main contribution: a replicable intervention package (artifact packets, provenance templates, clinician SOPs), a measurement and analytic blueprint (mixed-effects model with therapist clustering, MCID rules), and a data-governance model balancing participant control and research needs. Expected outcome: evidence that History Therapy produces measurable improvement in meaning and purpose relative to control, validated narrative-coherence scoring, and pilot estimates for sample size, therapist ICC (measure of clustering), and feasibility of biomarker integration.</w:t>
      </w:r>
    </w:p>
    <w:p>
      <w:r>
        <w:t xml:space="preserve"> </w:t>
      </w:r>
    </w:p>
    <w:p>
      <w:pPr>
        <w:pStyle w:val="Heading2"/>
      </w:pPr>
      <w:r>
        <w:t>Experiments</w:t>
      </w:r>
    </w:p>
    <w:p>
      <w:r>
        <w:t>Design: Two-stage experimental plan. Stage 1 (pilot): single-arm feasibility N=40 across ~4 therapists to estimate SD and therapist ICC (intraclass correlation coefficient; a measure of similarity within therapist clusters). Timepoints: baseline, mid-treatment (session 4), post-treatment (within 2 weeks), 3-month follow-up. Stage 2 (RCT): parallel two-arm randomized controlled trial (History Therapy vs active control: supportive counseling matched for session length but without archival materials). Recommended RCT scenarios: primary scenario d=0.50, ICC=0.05, cluster size m=15 → adjusted N≈109/arm (post-adjustment with 20% attrition → enroll ≈137/arm); alternate scenarios sweep d=0.35–0.65 and ICC=0.01–0.10. Datasets: participant-reported outcomes (PROMIS Meaning &amp; Purpose T-scores; PROMIS = standardized questionnaire; T-score = standard score), PHQ-9, GAD-7; coded narrative transcripts (score 0–21); biomarker subsamples (HRV, salivary/hair cortisol, EEG, optional fMRI) with specified n ranges. Baseline covariates: age, sex/gender, language, baseline PROMIS, baseline PHQ-9, trauma history, medication use, BMI, site. Primary outcome metric: mean change in PROMIS T-score at post-treatment; secondary metrics: responder proportion (&gt;=3 T‑point improvement), Cohen’s d, mixed-effects model estimates. Statistical model: preregistered linear mixed-effects model estimated by REML (a method for estimating mixed models), fixed effects for baseline PROMIS, treatment, time, language/site, treatment×time; random intercepts for participant and therapist; cluster-robust SEs. Missing data: multiple imputation by chained equations. Narrative reliability: ICC(3,k) for coders, double-code 20% transcripts. Biomarker analysis: multilevel mediation (mediator at mid-treatment) testing indirect effects with Monte-Carlo CIs. Baselines for comparison: supportive counseling (active control) and waitlist secondary. Ablation studies: (A) historical content removed: same protocol but archival items replaced by neutral contemporary texts; (B) guided reflection removed: participants view artifacts without structured clinician prompts. Evaluation metrics: primary—difference in mean PROMIS change and proportion responders; secondary—PHQ-9/GAD-7 change, narrative-coherence change, biomarker mediator effect sizes; coder ICC and transcript missingness rates; feasibility metrics: recruitment rate, retention, upload/UX times. Preprocessing and analytic code to be containerized and shared for reproducibility.</w:t>
      </w:r>
    </w:p>
    <w:p>
      <w:r>
        <w:t xml:space="preserve"> </w:t>
      </w:r>
    </w:p>
    <w:p>
      <w:pPr>
        <w:pStyle w:val="Heading2"/>
      </w:pPr>
      <w:r>
        <w:t>Risk Factors And Limitations</w:t>
      </w:r>
    </w:p>
    <w:p>
      <w:r>
        <w:t>Emotional safety: exposure to evocative historical materials may trigger distress or retraumatization, producing adverse events. Measurement biases: PROMIS and other scales may not be measurement-invariant across languages/cultures, biasing subgroup comparisons. Therapist clustering: high therapist ICC may reduce effective sample size and power. Sample and generalization: pilot and subsample sizes (biomarkers, imaging) may be too small to detect small effects or support mediation claims. Data risks: irreversible encryption choices can lead to permanent data loss if keys are lost; complex key-escrow raises governance conflicts. Legal/regulatory: cross-border storage and archival licensing may conflict with local laws or community protocols. Technical scalability: client-side E2EE for large media (&gt;50 MB) may fail on low-end devices, increasing burden and dropout. Biomarker limits: physiological measures are sensitive to time-of-day, medication, and protocol deviations, causing noise and missingness. Reproducibility vs privacy: releasing analysis code and de-identified derivatives may still risk re-identification of rare artifacts or small communities. Resource limits: required therapist training, community engagement, and archival licensing may exceed pilot budgets and extend timelines.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