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pygmalion_ai_narratives</w:t>
      </w:r>
    </w:p>
    <w:p>
      <w:r>
        <w:t xml:space="preserve"> </w:t>
      </w:r>
    </w:p>
    <w:p>
      <w:pPr>
        <w:pStyle w:val="Heading2"/>
      </w:pPr>
      <w:r>
        <w:t>Title</w:t>
      </w:r>
    </w:p>
    <w:p>
      <w:r>
        <w:t>Mixed-methods empirical and agent-based study of how cross-language cultural narratives and regulatory policies influence AI research funding and public perception</w:t>
      </w:r>
    </w:p>
    <w:p>
      <w:r>
        <w:t xml:space="preserve"> </w:t>
      </w:r>
    </w:p>
    <w:p>
      <w:pPr>
        <w:pStyle w:val="Heading2"/>
      </w:pPr>
      <w:r>
        <w:t>Short Hypothesis</w:t>
      </w:r>
    </w:p>
    <w:p>
      <w:r>
        <w:t>Greater exposure to optimistic media and film narratives causally increases funding allocation to commercialization-focused AI research relative to safety-focused research.</w:t>
      </w:r>
    </w:p>
    <w:p>
      <w:r>
        <w:t xml:space="preserve"> </w:t>
      </w:r>
    </w:p>
    <w:p>
      <w:pPr>
        <w:pStyle w:val="Heading2"/>
      </w:pPr>
      <w:r>
        <w:t>Related Work</w:t>
      </w:r>
    </w:p>
    <w:p>
      <w:r>
        <w:t>Prior work spans three main strands: (1) content and cultural studies showing narratives in media and film shape public perception and policy debates; (2) computational content-analysis and multilingual NLP methods that extract frames and sentiments but often focus on English and lack cross-cultural validation; (3) computational social-science models (including agent-based models, or ABMs) used to simulate policy and funding dynamics. Limitations include heavy anglophone bias in corpora, weak translation and cross-cultural validity protocols, limited pre-registration and power analysis for field-like interventions, under-calibrated ABMs with poor identifiability checks, and sparse treatment of privacy-preserving data release (synthetic data and differential privacy) with risk-utility evaluation. Existing studies rarely combine multilingual, annotated corpora, calibrated ABMs, and causal field or quasi-experimental designs while providing formal privacy and governance artifacts.</w:t>
      </w:r>
    </w:p>
    <w:p>
      <w:r>
        <w:t xml:space="preserve"> </w:t>
      </w:r>
    </w:p>
    <w:p>
      <w:pPr>
        <w:pStyle w:val="Heading2"/>
      </w:pPr>
      <w:r>
        <w:t>Abstract</w:t>
      </w:r>
    </w:p>
    <w:p>
      <w:r>
        <w:t>This project studies whether and how cultural narratives in media and film, together with policy actions, shape AI research directions and public expectations. We combine large multilingual corpora (news, policy documents, film scripts, social media) with a bilingual, evidence-span codebook and validated annotations, causal designs (randomized framing experiments, difference-in-differences, regression discontinuity), and an agent-based model (ABM) calibrated to empirical funding and publication targets. The main contribution is an end-to-end, reproducible pipeline that links measured narrative exposure to concrete funding and procurement outcomes, quantifies uncertainty from measurement error, and provides privacy-preserving data releases (synthetic text and differentially private aggregates). Expected outcomes are (1) testable estimates of narrative effects on funding and public signals, (2) an open bilingual codebook and gold standard, (3) a calibrated ABM for counterfactual policy evaluation, and (4) documented privacy-risk vs utility curves to guide safe sharing. The work supports policy decisions by making causal links and uncertainty explicit.</w:t>
      </w:r>
    </w:p>
    <w:p>
      <w:r>
        <w:t xml:space="preserve"> </w:t>
      </w:r>
    </w:p>
    <w:p>
      <w:pPr>
        <w:pStyle w:val="Heading2"/>
      </w:pPr>
      <w:r>
        <w:t>Experiments</w:t>
      </w:r>
    </w:p>
    <w:p>
      <w:r>
        <w:t>Datasets: multilingual corpora sampled across 12 languages (Mandarin, Spanish, Portuguese, Hindi, Bengali, Arabic, French [West Africa], Turkish, Bahasa Indonesia, Swahili, Russian, English) comprising: (A) news and tech blogs (target n_total ≈ 200,000 documents, stratified by epoch and country quotas); (B) policy documents and government portals; (C) film scripts and film reviews about AI (n ≈ 1,000); (D) funding records and grant abstracts (global funder dataset); (E) procurement notices and contract texts; (F) social media subcorpora for platform framing. Annotation: create bilingual gold set n_gold = 500 documents double-coded; require Krippendorff's alpha ≥ 0.70 on core labels. Baselines: (1) English-only content analysis pipeline; (2) uncalibrated ABM with default priors; (3) models without measurement-error correction; (4) full-data non-DP release. Methods and evaluations: (1) Randomized framing experiments: online multilingual vignettes (N per arm determined by pre-registered power, see below) measuring funder and public choices; outcome = change in funding-topic share (percentage points) and survey choice probabilities; (2) Quasi-experiments: DiD/event-study around policy announcements and RD at grant-score cutoffs using funding records; (3) Procurement A/B tests with partner buyers to test clause adoption change. Evaluation metrics: classification precision/recall/F1 and calibrated probability Brier score; Krippendorff's alpha for annotation reliability; ICC (intra-cluster correlation) and design effect (DEFF); causal estimates with standard errors, event-study plots, placebo tests, Oster/Rosenbaum sensitivity bounds; ABM fit measured by posterior predictive RMSE on funding-share time series and posterior intervals; privacy metrics: membership-inference attack rate and utility metrics (classifier AUC loss, Jensen-Shannon divergence of topic distributions). Power and sample parameters: pre-register simulation-based power with MDE targets = 5 percentage-point change in funding-topic share and 0.25 standard-deviation shift in architecture centralization; simulate ICC in {0.01, 0.05, 0.10} and cluster definitions = article/source/day to produce sample-size curves. Ablations: (A) exclude Global South languages to measure anglophone bias; (B) compare with/without measurement-error propagation (SIMEX or Bayesian measurement-error model); (C) vary DP epsilon choices ε ∈ {0.5, 1, 2} for aggregate releases and report risk-utility curves; (D) ABM variants testing network topologies (Erdos-Rényi, small-world, scale-free). Reproducibility: publish code, pre-registered analysis plans, and synthetic data plus DP aggregates; restricted raw artifacts available under secure enclave with governance agreements.</w:t>
      </w:r>
    </w:p>
    <w:p>
      <w:r>
        <w:t xml:space="preserve"> </w:t>
      </w:r>
    </w:p>
    <w:p>
      <w:pPr>
        <w:pStyle w:val="Heading2"/>
      </w:pPr>
      <w:r>
        <w:t>Risk Factors And Limitations</w:t>
      </w:r>
    </w:p>
    <w:p>
      <w:r>
        <w:t>Cultural validity: translation non-equivalence, concept mismatch, and researcher expectations may bias codes and ABM priors. Legal and access constraints: paywalls, national data laws (e.g., China), and GDPR may block data sharing or require local hosting. Measurement error: classifier and annotation errors propagate into causal estimates and may bias effect sizes. ABM identifiability: multiple parameter sets can fit observed aggregates (lack of uniqueness), limiting causal interpretation of counterfactuals. Privacy vs utility: differential privacy and synthetic text reduce disclosure risk but degrade analytic utility; choosing ε is subjective. Scalability and compute: cross-language ingestion, annotation, and ABC/MCMC calibration are computationally and labor intensive. Sampling bias: even a 12-language frame cannot capture all cultural variation and may under-represent marginalized or Indigenous groups. Harm risk: publishing sensitive procurement or community-level findings could trigger unintended consequences for local actors. Reproducibility limits: legal restrictions may prevent full public release of raw data, limiting exact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