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peircean_semiosis_alignment</w:t>
      </w:r>
    </w:p>
    <w:p>
      <w:r>
        <w:t xml:space="preserve"> </w:t>
      </w:r>
    </w:p>
    <w:p>
      <w:pPr>
        <w:pStyle w:val="Heading2"/>
      </w:pPr>
      <w:r>
        <w:t>Title</w:t>
      </w:r>
    </w:p>
    <w:p>
      <w:r>
        <w:t>Peircean semiotic mediation for aligning large language models to address the hall-of-mirrors problem</w:t>
      </w:r>
    </w:p>
    <w:p>
      <w:r>
        <w:t xml:space="preserve"> </w:t>
      </w:r>
    </w:p>
    <w:p>
      <w:pPr>
        <w:pStyle w:val="Heading2"/>
      </w:pPr>
      <w:r>
        <w:t>Short Hypothesis</w:t>
      </w:r>
    </w:p>
    <w:p>
      <w:r>
        <w:t>Adding interpretant-grounded supervision that enforces a triadic chain (object O → sign S → interpretant I → behavior B) causes a measurable increase of at least 0.15 absolute in the proportion-mediated (PM) of O→B through I compared to baseline supervision.</w:t>
      </w:r>
    </w:p>
    <w:p>
      <w:r>
        <w:t xml:space="preserve"> </w:t>
      </w:r>
    </w:p>
    <w:p>
      <w:pPr>
        <w:pStyle w:val="Heading2"/>
      </w:pPr>
      <w:r>
        <w:t>Related Work</w:t>
      </w:r>
    </w:p>
    <w:p>
      <w:r>
        <w:t>Existing approaches treat large language models as statistical predictors of text and focus on calibration, causal inference of latent units, and latent-editing to change behavior. Causal mediation methods estimate how intermediate variables transmit effects but typically assume manipulable, well-observed mediators. Latent-editing tools can alter internal vectors but lack standard fidelity metrics and do not operationalize semiotic interpretants. Mutual information estimators (InfoNCE, MINE) are used to probe dependence between latents and behaviors but suffer bias and sampling issues. Prior alignment work focuses on reward, calibration, or value learning rather than explicit socio-semiotic grounding. Weaknesses: (1) absence of operational triadic (Peircean) structure tying object, sign, and interpretant to behavior; (2) limited robustness checks for backdoors, interference, and estimator bias; (3) synthetic validation is rare or under-specified; (4) annotation schemes do not consistently measure interpretant consensus or map it to behavior.</w:t>
      </w:r>
    </w:p>
    <w:p>
      <w:r>
        <w:t xml:space="preserve"> </w:t>
      </w:r>
    </w:p>
    <w:p>
      <w:pPr>
        <w:pStyle w:val="Heading2"/>
      </w:pPr>
      <w:r>
        <w:t>Abstract</w:t>
      </w:r>
    </w:p>
    <w:p>
      <w:r>
        <w:t>Large language models often reproduce surface patterns of training data without stable, indexical grounding; we call this the hall-of-mirrors problem. We propose a semiotic framing that treats alignment as an empirical problem of creating and measuring interpretants—internal, socially-mediated signs that link external objects to model behavior. Our approach uses a mediation-based intervention pipeline: (1) operationalize the Peircean triad (object, sign/representamen, interpretant) in annotation and latent handles; (2) validate latent-editing fidelity on synthetic agents with known latents; (3) run a pre-registered two-arm randomized pilot comparing baseline training to interpretant-grounded supervision with randomized encouragement or instrument variables; and (4) evaluate Proportion Mediated (PM) as the primary endpoint alongside triadic component metrics and MI-based diagnostics. The main contribution is a reproducible experimental protocol that makes semiotic interpretants measurable and testable, plus calibration procedures that map estimator bias to mediation estimates. Expected outcome: demonstration of whether interpretant-aware training increases mediated causal influence and an operational toolkit for semiotic grounding in alignment research.</w:t>
      </w:r>
    </w:p>
    <w:p>
      <w:r>
        <w:t xml:space="preserve"> </w:t>
      </w:r>
    </w:p>
    <w:p>
      <w:pPr>
        <w:pStyle w:val="Heading2"/>
      </w:pPr>
      <w:r>
        <w:t>Experiments</w:t>
      </w:r>
    </w:p>
    <w:p>
      <w:r>
        <w:t>Datasets: 1) Synthetic agent environments with ground-truth latents and controllable training-data T; 2) Learned-agent language modeling tasks derived from dialog/environment episode datasets with context C recorded. Baselines: (A) standard supervised training (baseline), (B) interpretant-grounded supervision (treatment) that supplies annotated interpretants and encouragement cues, (C) ablation: interpretant labels but no latent clamping. Design: two-arm randomized encouragement or IV design; randomize at episode or seed level with cluster unit = independent training seed. Seeds: 30 independent seeds per arm (adjust to 50 if seed-level SD&gt;0.12). Episodes: ~1,000 episodes per seed. Interventions: do(I)=c clamping in synthetic agents; randomized encouragement/write-enable in learned agents. Primary metric: Proportion Mediated (PM) = 1 − τ_doI / τ_total where τ are ATEs of O→B estimated by regression with covariates X (context indicators, object_id fixed effects, pre-intervention baseline behavior, episode length, training-batch indicators). Inference: primary use randomization inference clustered by seed (clustered permutation) and cluster bootstrap B≥2000 for CIs. Secondary metrics: Persistence, Error-Sensitivity, Inferential Breadth, Compositionality, and aggregated triadicity with sensitivity grid. MI diagnostics: primary InfoNCE (temps τ∈{0.01,0.05,0.1,0.2}, negatives k∈{64,128}), supplemental MINE (3-layer MLP); report estimator bias calibration results from synthetic sweeps. Fidelity metrics: Locality (fraction of L2 intervention energy on targeted coords; target≥90%), Specificity ratio = intended_change / RMS(other_change) (target≥4), Collateral-change rate (&lt;10% of slots exceed ε where ε=0.1×SD(latent norms)), behavioral side-effect rate measured per episode. IV diagnostics: first-stage F&gt;10, partial R^2, complier proportion, CACE via TSLS with cluster-robust SEs. Ablations: remove persistence (no persistent memory), vary context window length, and compare in-batch vs memory negative sampling for MI. Reporting: seed-level PM estimates, bootstrap/randomization p-values, estimator set (InfoNCE, MINE) with calibration, and fidelity ROC/OC plots from synthetic validation.</w:t>
      </w:r>
    </w:p>
    <w:p>
      <w:r>
        <w:t xml:space="preserve"> </w:t>
      </w:r>
    </w:p>
    <w:p>
      <w:pPr>
        <w:pStyle w:val="Heading2"/>
      </w:pPr>
      <w:r>
        <w:t>Risk Factors And Limitations</w:t>
      </w:r>
    </w:p>
    <w:p>
      <w:r>
        <w:t>Identification failure: unmeasured confounders, interference across slots or seeds, or feedback loops (B→P→S) may invalidate PM. Estimator bias: InfoNCE and MINE can be biased in small-sample or high-dimensional regimes, causing incorrect PM mapping. Annotation ambiguity: annotator disagreement on interpretants can reduce power or bias mediation estimates; free-text interpretants complicate consensus measurement. Fidelity thresholds: Locality≥90% and Specificity≥4 are based on pilot heuristics and may not generalize. Synthetic-to-real gap: interventions validated on synthetic agents may not transfer to learned agents; domain shift detection may abort experiments. Compute and scalability: required seeds, episodes, and MI estimator training are computationally intensive. Safety risks: latent-write interventions can cause unintended behaviors; measuring latent-write exposure and unintended-behavior rates may be noisy. Multiple testing and interim stopping: complex alpha spending increases reporting complexity. Generalization limits: results apply to specific model families, tasks, and annotation protocols and may not extend to all architectures or real-world socio-affective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