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llm_provenance_mental_health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Retrieval-augmented large language models for diagnostic screening and treatment recommendation in adult mental health narratives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retrieval-augmented LLM (RAG) with explicit provenance-matching and calibrated uncertainty will increase screening sensitivity for depression/anxiety by at least 0.05 versus an end-to-end fine-tuned LLM, while keeping treatment-critical factual error rate below 1%.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applied large language models (LLMs) and therapeutic chatbots to mental health tasks using fine-tuning, prompt engineering, or retrieval augmentation. Retrieval-augmented generation (RAG) methods add document retrieval to ground outputs in external text. Existing systems show reasonable conversational ability and some screening performance, but they have key limits: they often lack rigorous provenance linking (evidence spans tied to claims), they provide poorly calibrated probabilities (uncertainty not trustworthy), evaluation uses weak or inconsistent ground truth (no standardized SCID/MINI mapping), subgroup fairness is underreported, adversarial robustness is not systematically tested, and hallucination/factuality metrics for treatment statements are coarse or absent. Privacy and differential-privacy trade-offs are under-specified, and most prior experiments lack external site holdouts and clinician-adjudicated factuality. These weaknesses make clinical adoption and regulatory review difficult.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integrating retrieval-augmented generation (RAG) with explicit provenance-matching and calibrated uncertainty improves automated screening and treatment recommendation on clinical mental-health narratives. The approach combines a retriever that indexes validated clinical sources and a generator that cites evidence spans; outputs include a confidence score calibrated to observed outcomes. Main contributions are: (1) a reproducible provenance-matching protocol that defines when a cited text span supports a claim, (2) an evaluation pipeline that measures diagnostic sensitivity/specificity, calibration, retrieval quality, and treatment-critical factuality adjudicated by clinicians, and (3) an ablation comparing RAG variants to fine-tuned and structured baselines on held-out sites and languages. Expected outcome: RAG with provenance and calibration yields higher screening sensitivity with low treatment-critical error, while providing auditable evidence links for clinician review. This work advances operational evaluation practices needed for safe, transparent LLM use in mental-health screening and treatment support.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public corpora: DAIC-WOZ (depression interview transcripts), CLPsych challenge sets (suicide/self-harm annotations), eRisk self-harm dataset; (2) pilot Minimal Viable Dataset (MVD) collected per protocol: n=500 (pilot) to n=1000 (expanded) adult participants with SCID/MINI item-level annotations, PHQ-9 and GAD-7 item scores, WHO-DAS items, audio/text transcripts, and clinician global impression. Baselines: (A) logistic regression on structured features (demographics + scale items), (B) XGBoost on engineered text features, (C) end-to-end fine-tuned LLM (7–13B) without retrieval, (D) RAG without provenance-matching (retriever + generator but no evidence anchor rules), (E) RAG with provenance-matching + calibrated uncertainty (proposed). Definitions: RAG = retrieval-augmented generation (a generator that conditions on retrieved documents); calibration = post-hoc temperature scaling (adjusts predicted probabilities to match observed frequencies). Splits: patient-level temporal holdout, site holdout for external validation (at least one withheld site), language stratification for multilingual records. Sample sizes: pilot n=500 (expect 100–200 positives); expanded n=1000 to reach ~250 positives for common labels where prevalence allows. Evaluation metrics: screening sensitivity and specificity (primary), AUC, PPV/NPV (with prevalence), Brier score, expected calibration error (ECE; measures probability calibration), conformal prediction coverage (set coverage), retrieval metrics recall@k and MRR (mean reciprocal rank), provenance match rate (percent of model citations that meet span-matching rules), treatment-critical factual error rate (clinician-adjudicated; target &lt;1%), hallucination rate (percent of unsupported assertions), and subgroup FNR differences (age, sex, race/ethnicity, language). Adjudication: two independent clinicians per flagged treatment statement, senior adjudicator for ties; adjudication applied to (a) all low-confidence outputs, (b) all safety-flag outputs, and (c) a random 10% sample of outputs for baseline error estimation. Statistical tests: bootstrap 95% CIs and paired McNemar tests for sensitivity differences; report effect sizes. Ablations: (1) RAG with vs without provenance-matching; (2) calibration on vs off; (3) deferral thresholds enabled vs disabled (automatic defer to human for low confidence); (4) retrieval k ablation (k=1,3,5). Red-team: run adversarial test suite (metaphor/idiom, code-switching, euphemism, prompt-injection) and report failure rates per scenario. Success criteria: increase in sensitivity ≥0.05 for depression/anxiety screening vs end-to-end LLM with no increase in treatment-critical factual error rate above 1%; external site holdout performance within 5 percentage points of internal test performance.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retriever returns irrelevant documents causing false provenance (misleading citations); generator paraphrases evidence incorrectly (context distortion); calibration may degrade under distribution shift. Data and annotation limits: SCID/MINI interviews are costly; small or biased samples can produce unreliable subgroup estimates; evidence-span annotation is subjective and may have low inter-rater reliability. Evaluation bias: public datasets may not reflect clinical populations (selection bias), and pilot MVD prevalence may differ from deployment prevalence, affecting PPV/NPV. Adversarial vulnerabilities: prompt injection, role-play, and cultural phrasing can bypass safeguards. Privacy and scalability: DP or synthetic data may reduce model utility; strong DP budgets increase compute and training difficulty. Compute limits: full large-model experiments need substantial GPU-hours and may be infeasible for some teams. Generalization limits: models trained on adult English-majority data may not generalize to children, other languages, or care settings. Regulatory/legal limits: clinically actionable recommendations may be regulated as medical software requiring additional trials and oversight. Human factors: clinician acceptance and workflow integration are not guaranteed and may limit real-world impact.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