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german_minority_archive_affect_study</w:t>
      </w:r>
    </w:p>
    <w:p>
      <w:r>
        <w:t xml:space="preserve"> </w:t>
      </w:r>
    </w:p>
    <w:p>
      <w:pPr>
        <w:pStyle w:val="Heading2"/>
      </w:pPr>
      <w:r>
        <w:t>Title</w:t>
      </w:r>
    </w:p>
    <w:p>
      <w:r>
        <w:t>Quasi-experimental mixed-methods evaluation of affective and social impacts of a German minority community archive in Silesia</w:t>
      </w:r>
    </w:p>
    <w:p>
      <w:r>
        <w:t xml:space="preserve"> </w:t>
      </w:r>
    </w:p>
    <w:p>
      <w:pPr>
        <w:pStyle w:val="Heading2"/>
      </w:pPr>
      <w:r>
        <w:t>Short Hypothesis</w:t>
      </w:r>
    </w:p>
    <w:p>
      <w:r>
        <w:t>Engagement with an affective-enriched community archive (access plus affective metadata and mediated interactions) causes greater increases in ethnic identity salience and perceived community cohesion over 12 months than engagement with a non-affective archive or no archive access.</w:t>
      </w:r>
    </w:p>
    <w:p>
      <w:r>
        <w:t xml:space="preserve"> </w:t>
      </w:r>
    </w:p>
    <w:p>
      <w:pPr>
        <w:pStyle w:val="Heading2"/>
      </w:pPr>
      <w:r>
        <w:t>Related Work</w:t>
      </w:r>
    </w:p>
    <w:p>
      <w:r>
        <w:t>Work on community and independent archives documents cultural preservation and local history impacts but is largely descriptive and cross-sectional. Studies of oral history show personal and affective effects at the individual level but rarely employ causal designs. Metadata research has proposed emotion or provenance fields, yet practical implementations that link affective tags to access policy and evaluation are rare. Psychometric research on ethnic identity measures (e.g., MEIM) exists, but multilingual validation across small minority populations and across generations is limited. Privacy engineering literature offers differential privacy and k-anonymity methods, but risk/utility calibration for small, sensitive community datasets is underdeveloped. Biosensor integration in qualitative studies is experimental and often lacks reproducible preprocessing pipelines. Limitations of current approaches include: predominance of non-causal inference, small unrepresentative samples, insufficient cross-language psychometric validation, lack of reproducible power simulations, and sparse privacy-utility analyses for sensitive archival exports.</w:t>
      </w:r>
    </w:p>
    <w:p>
      <w:r>
        <w:t xml:space="preserve"> </w:t>
      </w:r>
    </w:p>
    <w:p>
      <w:pPr>
        <w:pStyle w:val="Heading2"/>
      </w:pPr>
      <w:r>
        <w:t>Abstract</w:t>
      </w:r>
    </w:p>
    <w:p>
      <w:r>
        <w:t>This study tests whether structured engagement with a community archive that includes affective provenance metadata and mediated access changes ethnic identity salience and perceived community cohesion in a German minority in Silesia. We use a quasi-experimental mixed-methods design: a pilot (N=60, stratified) and a scaled cohort (N=150–200) with baseline, immediate post-exposure, 3-month and 12-month follow-ups. Primary quantitative outcomes are change in ethnic identity (MEIM) and Sense of Community Index; secondary outcomes include state affect (short PANAS), meaning in life (MLQ), well-being (WHO-5), archival engagement logs, and optional biosensor-derived autonomic markers (HRV). We pair multilevel longitudinal models (three-level: time within person within household) and pre-registered mediation tests with qualitative thematic analysis and interrater reliability. Contributions: (1) a reproducible quasi-experimental protocol for archive exposure, (2) a psychometric pipeline for cross-language validation, (3) seeded Monte Carlo power simulations, and (4) an evaluation of affective metadata and privacy-engineering trade-offs. Expected outcome: clear, reproducible evidence about the archive's social and affective effects and operational guidance for affective metadata and ethical data sharing.</w:t>
      </w:r>
    </w:p>
    <w:p>
      <w:r>
        <w:t xml:space="preserve"> </w:t>
      </w:r>
    </w:p>
    <w:p>
      <w:pPr>
        <w:pStyle w:val="Heading2"/>
      </w:pPr>
      <w:r>
        <w:t>Experiments</w:t>
      </w:r>
    </w:p>
    <w:p>
      <w:r>
        <w:t>Datasets: (a) archive object metadata and digital surrogates; (b) August 2024 oral-history interviews (existing); (c) pilot cohort N=60 stratified by generation and donor status; (d) scale cohort N=150–200. Include optional biosensor subset N≈30 for physiological signals. Baselines: (1) no-access control (waitlist), (2) generic-access control (same materials but without affective metadata and without mediated community liaison), (3) matched non-random control via propensity scores when randomisation is not possible. Exposure operationalisation: scripted mediated encounter (dose measured as minutes of mediated session and number of items viewed); timing: single mediated session between baseline and immediate follow-up; repeated exposure logged for longitudinal dose-response. Timepoints: T0 baseline, T1 immediate post-exposure (0–7 days), T2 3 months, T3 12 months. Evaluation metrics: primary — MEIM change (ethnic identity salience) and Sense of Community Index change; secondary — PANAS short state change, MLQ presence change, WHO-5 change, archival engagement metrics (session counts, time on item), qualitative code frequencies and thematic saturation, interrater Cohen's kappa for coding, metadata completeness (% fields populated), middleware enforcement success rate (% requests correctly authorized). Biosensor metrics: mean HR, RMSSD (HRV measure), phasic skin conductance response counts. Statistical analysis: three-level multilevel growth models (time|participant|household), fixed effects for time, exposure, time×exposure, generation, donor status; random intercepts at household and participant and random slope for time at participant. Inference sets: intention-to-treat (ITT) and per-protocol contrasts. Pre-registered comparisons: full intervention vs generic-access vs waitlist. Ablation studies: (A) affective metadata removed (same mediated contact) vs full; (B) mediated liaison removed vs full; (C) biosensor subset vs no-biosensor. Power and reproducibility: publish seeded Monte Carlo simulation code and spec sheet with parameter values (effect sizes, ICCs, residual variances, attrition) and exact random seed. Missing data and sensitivity: pre-specify pattern-mixture and selection models for MNAR checks and report primary estimates with sensitivity bounds. Multiple testing: primary outcomes limited to two pre-registered contrasts; secondary analyses controlled by Benjamini-Hochberg false discovery rate. Implementation details: publish analysis scripts, seed, and CI/CD repository before data collection; provide exact variable definitions and preprocessing steps for physiological and transcript data.</w:t>
      </w:r>
    </w:p>
    <w:p>
      <w:r>
        <w:t xml:space="preserve"> </w:t>
      </w:r>
    </w:p>
    <w:p>
      <w:pPr>
        <w:pStyle w:val="Heading2"/>
      </w:pPr>
      <w:r>
        <w:t>Risk Factors And Limitations</w:t>
      </w:r>
    </w:p>
    <w:p>
      <w:r>
        <w:t>Technical failures: middleware or consent flag enforcement bugs may misapply access rules; biosensor data may be noisy or non-usable due to artifacts. Data and evaluation biases: selection bias if donors and participants are unrepresentative; differential attrition across groups may bias longitudinal estimates. Psychometrics: measurement invariance across generations and languages may fail, making pooled comparisons invalid. Privacy constraints: strict GDPR or Article 9 interpretations may limit sample sizes or available variables; differential privacy or k-anonymity may reduce data utility for small cells. Scalability and compute: differential privacy pipelines and Monte Carlo sims can be computationally expensive for repeated re-runs. Generalization limits: findings will be specific to the German minority context in Silesia and may not transfer to other minority archives. Biosensor limits: small biosensor sample reduces power for physiological claims; HRV and EDA are sensitive to movement and recording conditions, producing artifacts. Ethical constraints: archival preservation obligations may prevent full deletion on revocation, which can affect participant trust and retention.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