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impact_vc_tactics</w:t>
      </w:r>
    </w:p>
    <w:p>
      <w:r>
        <w:t xml:space="preserve"> </w:t>
      </w:r>
    </w:p>
    <w:p>
      <w:pPr>
        <w:pStyle w:val="Heading2"/>
      </w:pPr>
      <w:r>
        <w:t>Title</w:t>
      </w:r>
    </w:p>
    <w:p>
      <w:r>
        <w:t>Mixed-methods causal and ethnographic analysis of how impact venture capitalists mobilize ambiguous impact signals for market entry, fundraising, and founder selection</w:t>
      </w:r>
    </w:p>
    <w:p>
      <w:r>
        <w:t xml:space="preserve"> </w:t>
      </w:r>
    </w:p>
    <w:p>
      <w:pPr>
        <w:pStyle w:val="Heading2"/>
      </w:pPr>
      <w:r>
        <w:t>Short Hypothesis</w:t>
      </w:r>
    </w:p>
    <w:p>
      <w:r>
        <w:t>When impact venture capitalists present externally validated impact signals (for example buyer commitments, regulatory approvals, or intermediary endorsements), the treated deals experience a higher probability and faster time to follow-on commercial investment compared with similar deals without such signals.</w:t>
      </w:r>
    </w:p>
    <w:p>
      <w:r>
        <w:t xml:space="preserve"> </w:t>
      </w:r>
    </w:p>
    <w:p>
      <w:pPr>
        <w:pStyle w:val="Heading2"/>
      </w:pPr>
      <w:r>
        <w:t>Related Work</w:t>
      </w:r>
    </w:p>
    <w:p>
      <w:r>
        <w:t>Existing work on impact investing and venture capital uses three main approaches: (1) cross-sectional labeling and outcome comparisons that treat 'impact' as a fixed attribute and therefore miss time-varying signals; (2) VC and signaling literature that examines how specific signals (team, traction, endorsements) influence investor behavior but rarely focuses on contested social or environmental impact claims; and (3) qualitative studies that document investor practices but stop short of linking those practices to causal effects. Methodological work in applied causal inference (IV, difference-in-differences, regression discontinuity, survival models, and mediation analysis) offers tools for identification but is often applied without ethnographic micro-foundations or with weak instruments. Limitations include coarse or inconsistent impact measurement, weak identification of causal channels, underpowered mediation tests, lack of time-ordered event coding, limited linking of qualitative timelines to econometric tests, and few practical standards for privacy-preserving data sharing in this domain.</w:t>
      </w:r>
    </w:p>
    <w:p>
      <w:r>
        <w:t xml:space="preserve"> </w:t>
      </w:r>
    </w:p>
    <w:p>
      <w:pPr>
        <w:pStyle w:val="Heading2"/>
      </w:pPr>
      <w:r>
        <w:t>Abstract</w:t>
      </w:r>
    </w:p>
    <w:p>
      <w:r>
        <w:t>This study examines how impact venture capitalists (VCs) mobilize ambiguous social and environmental 'impact' signals to access new markets, founders, and capital. We combine ethnographic fieldwork with causal quantitative methods to trace when and how specific signals—intermediary endorsements, pilot buyer commitments, regulatory cues—change investor behavior and deal outcomes. Our mixed-methods approach uses interview-based event timelines to create time-varying covariates, randomized pitch-deck exposures to measure causal effects on investor interest, and quasi-experimental designs (instrumental variables from staggered accelerator rollouts, difference-in-differences on DFI tranche announcements, and regression discontinuity at selection cutoffs) to strengthen identification. We estimate survival models for time-to-follow-on investment and mediation models that test whether intermediary network position (betweenness) explains observed effects. We also evaluate privacy-preserving data releases using synthetic data and differential privacy (DP) utility tests. The main contribution is a replicable, causal mapping from everyday tactical practices of impact VCs to measurable deal outcomes, plus an operational taxonomy of deployable signals and documented tradeoffs for data sharing.</w:t>
      </w:r>
    </w:p>
    <w:p>
      <w:r>
        <w:t xml:space="preserve"> </w:t>
      </w:r>
    </w:p>
    <w:p>
      <w:pPr>
        <w:pStyle w:val="Heading2"/>
      </w:pPr>
      <w:r>
        <w:t>Experiments</w:t>
      </w:r>
    </w:p>
    <w:p>
      <w:r>
        <w:t>Datasets: primary partner-supplied deal-level dataset from 8-12 impact funds targeting at least 600-900 deals and ~700-900 unique founders; investor exposure panel for randomized pitch-deck tests with 1,200-1,600 investor exposures; fallback datasets: Crunchbase, PitchBook, DFI public portfolios. Baselines: (A) observational no-signal deals matched by stage/sector/country; (B) randomized control arm (no added signal); (C) synthetic-data-augmented baseline for pipeline validation. Primary outcomes and metrics: time-to-follow-on measured in months, estimated via hazard ratio (HR) from Cox proportional hazards model (Cox PH; 'hazard ratio' means relative rate of event occurrence) and absolute risk differences at 12 and 24 months; invest probability (binary) and valuation (continuous) for investor exposures; mediator metrics: intermediary betweenness centrality (betweenness measures how often an actor sits on shortest paths between others) and Shannon entropy diversity (diversity = -Σ p_i log p_i over intermediary types). Statistical models: Cox PH with Schoenfeld tests for proportional hazards, Weibull AFT and Royston-Parmar as alternatives, Fine-Gray for competing risks, logistic regression for invest probability, OLS/quantile regressions for valuation, counterfactual mediation (Imai/Tingley) and product-of-coefficients robustness. Causal identification: randomized pitch-deck RCT with 3 arms, IV using staggered accelerator/DFI technical assistance rollouts (first-stage F statistic &gt; 10), DiD/event-study on DFI concessional tranche announcements with placebo windows, RDD using accelerator selection cutoffs with McCrary density and bandwidth sensitivity. Sample-size targets: 600-900 deals (~300 events) for HR=0.75 detection (80% power, α=0.05); 1,200-1,600 investor exposures for +8pp detect in invest probability (~400 per arm). Missing data and attrition: MICE (multiple imputation), inverse-probability weighting (IPW), Lee bounds for attrition sensitivity. Ablations and robustness: (1) remove external validation requirement to test marginal effect of unverifiable signals; (2) vary lag windows for time-varying signals (30, 90, 180 days) and report model selection criteria; (3) compare mediation estimators including g-methods (marginal structural models with stabilized weights) and sequential g-estimation; (4) DP utility ablation: simulate epsilon values {0.1,0.5,1,2} and report bias/variance impact on primary estimands. Pre-specified subgroup analyses: LP type, geography (region), founder origin (local vs non-local), stage (seed vs growth). Evaluation metrics reported with clustered standard errors at fund level and Benjamini-Hochberg multiple testing correction.</w:t>
      </w:r>
    </w:p>
    <w:p>
      <w:r>
        <w:t xml:space="preserve"> </w:t>
      </w:r>
    </w:p>
    <w:p>
      <w:pPr>
        <w:pStyle w:val="Heading2"/>
      </w:pPr>
      <w:r>
        <w:t>Risk Factors And Limitations</w:t>
      </w:r>
    </w:p>
    <w:p>
      <w:r>
        <w:t>1) Instrument validity threats: candidate instruments (accelerator openings, DFI rollouts) may violate exclusion if they affect outcomes through other channels. 2) Selection bias: funds and founders that agree to participate may differ from the broader population, limiting external validity. 3) Measurement error: impact signals (buyer commitments, endorsements) may be inconsistently recorded or misreported. 4) Low mediation power: indirect effects are typically small and require larger samples than available, producing wide confidence intervals. 5) Time-varying confounding: repeated investor×deal exposures create dynamic confounders that standard models may not fully adjust for. 6) Behavioral response and gaming: actors may change behavior when studied or when signals are known to be influential. 7) Data access and legal constraints: NDAs and partner restrictions may limit usable sample size and variable granularity. 8) Privacy-utility tradeoffs: strong differential privacy (DP) guarantees reduce statistical utility, and chosen epsilon values may bias estimates. 9) Generalization limits: findings may not generalize beyond participating funds, sectors, or regions. 10) Compute and scale: network and simulation analyses (bootstrap mediation, DP synthetic generation) may require substantial compute resources and time for large parameter grids.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