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w:t>
      </w:r>
    </w:p>
    <w:p>
      <w:r>
        <w:t xml:space="preserve"> </w:t>
      </w:r>
    </w:p>
    <w:p>
      <w:pPr>
        <w:pStyle w:val="Heading2"/>
      </w:pPr>
      <w:r>
        <w:t>Title</w:t>
      </w:r>
    </w:p>
    <w:p>
      <w:r>
        <w:t>A multimodal classification and cluster-randomized evaluation of how corporate populist messaging shapes consumer behavior</w:t>
      </w:r>
    </w:p>
    <w:p>
      <w:r>
        <w:t xml:space="preserve"> </w:t>
      </w:r>
    </w:p>
    <w:p>
      <w:pPr>
        <w:pStyle w:val="Heading2"/>
      </w:pPr>
      <w:r>
        <w:t>Short Hypothesis</w:t>
      </w:r>
    </w:p>
    <w:p>
      <w:r>
        <w:t>Exposure to corporate messages containing consumption-populism cues causes higher short-term purchase conversion and greater consumer identity centrality than exposure to matched authenticity (non-populist) messages.</w:t>
      </w:r>
    </w:p>
    <w:p>
      <w:r>
        <w:t xml:space="preserve"> </w:t>
      </w:r>
    </w:p>
    <w:p>
      <w:pPr>
        <w:pStyle w:val="Heading2"/>
      </w:pPr>
      <w:r>
        <w:t>Related Work</w:t>
      </w:r>
    </w:p>
    <w:p>
      <w:r>
        <w:t>Existing work splits into three strands: (1) political populism theory, which defines populist logics and affective mobilization but focuses on parties and leaders; (2) marketing and consumer-culture research, which documents narrative, authenticity, and lifestyle branding but rarely treats messages as explicit political/populist strategies; and (3) multimodal classification and political persuasion methods in computational social science, which detect political signals in text, images, and audio and estimate diffusion on networks. Limitations: theory papers do not operationalize multimodal cues for large-scale measurement; marketing studies conflate authenticity with political mobilization; technical classifiers usually focus on single modalities or partisan labels and lack validated constructs for populist-branding; causal work on persuasion often ignores network spillovers and mediation into identity; annotation protocols in prior work lack standardized intensity scales and cross-language validation. These gaps hinder measurement validity, causal identification under interference, and cross-cultural generalization.</w:t>
      </w:r>
    </w:p>
    <w:p>
      <w:r>
        <w:t xml:space="preserve"> </w:t>
      </w:r>
    </w:p>
    <w:p>
      <w:pPr>
        <w:pStyle w:val="Heading2"/>
      </w:pPr>
      <w:r>
        <w:t>Abstract</w:t>
      </w:r>
    </w:p>
    <w:p>
      <w:r>
        <w:t>This study defines and tests "consumption populism," a corporate communicative strategy that mobilizes populist logic through multimodal brand signals to shape consumption. We present a reproducible pipeline to (1) annotate multimodal content (text, image, audio) for five constructs—people-centrism, anti-elitism, us-vs-them, crisis rhetoric, plain-speaking—using binary presence plus a 0–3 intensity scale; (2) train and validate multimodal classifiers with cross-language checks and active learning; and (3) estimate causal effects on purchase behavior and identity activation using cluster-randomized encouragement designs that measure direct and spillover effects. Main contributions are a validated operationalization of consumption populism, an open annotation gold set and multimodal model, and a pre-registered causal design for direct and indirect effects (including mediation via identity). Expected outcomes include quantifying how corporate populist cues change short-term buying and identity centrality and showing the role of affect and network spillovers. Results will enable clearer measurement and causal claims about how business leaders use populist logic to shape consumption.</w:t>
      </w:r>
    </w:p>
    <w:p>
      <w:r>
        <w:t xml:space="preserve"> </w:t>
      </w:r>
    </w:p>
    <w:p>
      <w:pPr>
        <w:pStyle w:val="Heading2"/>
      </w:pPr>
      <w:r>
        <w:t>Experiments</w:t>
      </w:r>
    </w:p>
    <w:p>
      <w:r>
        <w:t>Datasets: (A) Pilot corpus: ≥2,000 multimodal branded items (text+image or short video) drawn from the Baba Ramdev case and comparable firms; (B) Labeled corpus: expand to 8,000–10,000 items via active learning (uncertainty sampling); (C) User panel and transaction linkage: loyalty-panel data with consented purchase records (N≈10,000 per cluster RCT arm target) and demographic covariates; (D) Cross-country holdouts: two high-polarization countries and two low-polarization countries for external validity. Annotation and baselines: use 12–16 diverse coders, 300-item gold set, double-code 30% (raise to 40–50% for edge strata). Baseline models: (1) authenticity classifier baseline (fine-tuned transformer on lifestyle/authenticity labels); (2) unimodal text-only transformer (RoBERTa); (3) image-only model (CLIP/ViT); (4) audio-only CNN+RNN where available. Proposed multimodal model: modality-specific encoders with late-fusion multi-task head predicting binary presence and intensity (0–3). Training/validation: 70/15/15 stratified split by brand and country, cross-language back-translation checks. Evaluation metrics: annotation reliability Krippendorff's alpha and ICC (intensity), classifier precision/recall/F1, AUPRC, calibration plots, per-subgroup error rates, and confusion matrices. Causal experiments: (1) Online vignette factorial experiment: N≈2,000 per arm per country; messages cross-manipulate populist cues vs authenticity cues; outcomes: immediate stated purchase intention and identity-centrality scale (0–100). Analysis: ANCOVA (outcome ~ treatment + baseline covariates) with cluster-robust SEs and permutation inference for clustered data. (2) Cluster-randomized encouragement field trial: randomize 200 clusters (100 treated, 100 control), average cluster size 50 (total ≈10,000). Primary estimands: ATE_direct (difference in conversion rates) and ATE_spillover (peer effects). Estimators: difference-in-means with ANCOVA adjustment for clustered randomization, randomization-based inference for significance, and Aronow–Samii bounds for partial interference sensitivity (Aronow/Samii = design-based method to bound effects when spillover occurs). Mediation and pathway tests: estimate indirect effects via identity using interventional (randomized-instrument-style) mediation estimators where encouragement is instrument for exposure; report assumptions and sensitivity (sequential ignorability limitations). Ablations and comparisons: (A) modality ablation (text-only vs image-only vs text+image+audio); (B) feature ablation (remove affective markers, plain-speaking cues, spectacle markers); (C) human vs classifier comparison on held-out gold set; (D) spillover sensitivity: vary exposure window (7/14/21 days) and tie-weight formulas. Reporting: pre-registered estimands, 95% CIs, p-values, Cohen's d for identity scale, ICCs, and subgroup heterogeneity by populist-attitude tertile and partisan ID. All code and pre-registration will be published; models evaluated for subgroup fairness metrics.</w:t>
      </w:r>
    </w:p>
    <w:p>
      <w:r>
        <w:t xml:space="preserve"> </w:t>
      </w:r>
    </w:p>
    <w:p>
      <w:pPr>
        <w:pStyle w:val="Heading2"/>
      </w:pPr>
      <w:r>
        <w:t>Risk Factors And Limitations</w:t>
      </w:r>
    </w:p>
    <w:p>
      <w:r>
        <w:t>Technical failure modes: multimodal fusion may fail when text and image signals conflict (e.g., ironic caption on celebratory image), leading to mislabeling. Annotation biases: coder disagreement on sarcasm, memes, or co-branding may lower reliability; multilingual translation errors can change meaning. Causal ID risks: encouragement may be weak (low compliance), cluster contamination and unmeasured interference can bias direct/spillover estimates; instrumental variables may be weak or violate exclusion restriction. Mediation limits: mediation estimators require strong ignorability or valid instruments; mediator–outcome confounding may remain. Data and evaluation biases: loyalty panels may not represent the general population and platform data may be non-random. Scalability and compute: training multimodal models at scale (images+video+audio) requires large GPU resources and storage. Generalization: models and causal effects from the Baba Ramdev case or select countries may not generalize to other cultural contexts or industries. Ethics and legal: experimenting with politicized messaging risks reputational and legal exposure and may raise IRB constraints; some markets may restrict political persuasion. Missing data: transaction linkage opt-in rates may be low, producing selection bias and MNAR (missing not at random) issues. Reproducibility: complete release of raw branded content may be restricted by copyright or privacy, limiting exact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