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beyond_detection_ai_assessment</w:t>
      </w:r>
    </w:p>
    <w:p>
      <w:r>
        <w:t xml:space="preserve"> </w:t>
      </w:r>
    </w:p>
    <w:p>
      <w:pPr>
        <w:pStyle w:val="Heading2"/>
      </w:pPr>
      <w:r>
        <w:t>Title</w:t>
      </w:r>
    </w:p>
    <w:p>
      <w:r>
        <w:t>Evaluating authentic, data-based assessment designs to reduce undisclosed student use of generative AI in online higher-education assessments</w:t>
      </w:r>
    </w:p>
    <w:p>
      <w:r>
        <w:t xml:space="preserve"> </w:t>
      </w:r>
    </w:p>
    <w:p>
      <w:pPr>
        <w:pStyle w:val="Heading2"/>
      </w:pPr>
      <w:r>
        <w:t>Short Hypothesis</w:t>
      </w:r>
    </w:p>
    <w:p>
      <w:r>
        <w:t>Implementing authentic, data-based assessment designs (staged drafts, short oral clarifications, and process rubrics) will reduce the percent of undisclosed student use of generative AI in online assessments compared to standard detection-focused policies.</w:t>
      </w:r>
    </w:p>
    <w:p>
      <w:r>
        <w:t xml:space="preserve"> </w:t>
      </w:r>
    </w:p>
    <w:p>
      <w:pPr>
        <w:pStyle w:val="Heading2"/>
      </w:pPr>
      <w:r>
        <w:t>Related Work</w:t>
      </w:r>
    </w:p>
    <w:p>
      <w:r>
        <w:t>Existing work divides into two main approaches: (1) detection-focused methods that build classifiers to identify AI-generated text and (2) pedagogical proposals that redesign assessments toward authentic, data-based tasks. Detection methods have advanced classifier architectures and ensemble testing across LLM families but show persistent weaknesses: nontrivial false-positive rates, subgroup disparities (language proficiency, L1, disability), sensitivity to prompt and temperature variations, and vulnerability to adaptive evasion strategies. Pedagogical alternatives show promise for deterrence and authenticity but lack rigorous, pre-registered evaluations and cluster-randomized trials; prior proposals often lack operational cost estimates, adjudication workflows, and validated markers linking process signals to AI use. Open gaps include cluster-aware power planning, validated multimodal gold standards, adversarial robustness to adaptive attackers, and prespecified subgroup testing rules.</w:t>
      </w:r>
    </w:p>
    <w:p>
      <w:r>
        <w:t xml:space="preserve"> </w:t>
      </w:r>
    </w:p>
    <w:p>
      <w:pPr>
        <w:pStyle w:val="Heading2"/>
      </w:pPr>
      <w:r>
        <w:t>Abstract</w:t>
      </w:r>
    </w:p>
    <w:p>
      <w:r>
        <w:t>Problem: Students increasingly use generative AI in online assessments while often not disclosing use; reliance on detection classifiers alone creates fairness and robustness concerns. Approach: We test an intervention that replaces a detection-first approach with authentic, data-based assessment design elements (staged drafts, short oral clarifications, and process-focused rubrics) and compare it to detection-enhanced and standard policies in a cluster-randomized pilot. Contribution: We create a consented, paired validation corpus (student-authored, multi-family LLM outputs, student-edited hybrids, and adversarial perturbations), pre-register cluster-aware power and operating-point rules, and evaluate both behavioral outcomes (percent undisclosed AI use) and technical metrics (classifier precision/recall, calibration, subgroup disparities). Expected outcome: Quantified evidence on whether authentic tasks reduce undisclosed AI use and a reproducible blueprint (sample sizes, adjudication SOPs, subgroup rules) to guide ethical scaling and governance.</w:t>
      </w:r>
    </w:p>
    <w:p>
      <w:r>
        <w:t xml:space="preserve"> </w:t>
      </w:r>
    </w:p>
    <w:p>
      <w:pPr>
        <w:pStyle w:val="Heading2"/>
      </w:pPr>
      <w:r>
        <w:t>Experiments</w:t>
      </w:r>
    </w:p>
    <w:p>
      <w:r>
        <w:t>Datasets: (1) Consented paired corpus: for each assignment collect student-authored submission, synthetic AI-only outputs from multiple LLM families (OpenAI GPT-3.5/4, Anthropic Claude, Google PaLM2, Meta LLaMA/Mistral/Falcon/Vicuna), student-edited hybrids at graded edit intensities (e.g., 10%, 50%, 90% edits measured by token-change), and adversarial variants (paraphrase chains, translation cycles, style transfer). (2) Cluster metadata: course_id, assessment_id, student demographics (opt-in), and process signals (paste counts, aggregated keystroke features, timestamped draft history). Baselines: (A) standard policy (honor code + no automated detection), (B) detection-enhanced (automated classifier flags + human adjudication), (C) authentic-assessment intervention (staged drafts, short oral clarifications, process rubrics) — the proposed arm. Evaluation metrics: primary outcome = percent undisclosed AI use (measured by self-report cross-validated with gold-standard labels). Classifier metrics: precision (positive predictive value), recall (sensitivity), AUROC (area under ROC curve; measures ranking quality), PR-AUC (precision-recall area; useful for imbalanced positives), expected calibration error (ECE; average gap between predicted probability and observed frequency; explained simply), overall false-positive rate (FPR) and subgroup FPRs, and subgroup disparity (absolute pp difference). Experimental setup: cluster-randomized trial at course level with average cluster size m=40; pre-register 80% power and two-sided alpha=0.05; interim check at 50% enrollment using O'Brien-Fleming alpha spending. Sample-size guidance: to estimate specificity=98% ±1% adjust binomial n≈753 negatives by design effect DE=1+(m-1)*ICC; example clusters per arm provided for ICC grid (0.01/0.05/0.10). For sensitivity estimation (recall target 70% ±5%) unclustered positives n≈385; adjust by DE for clustered design. Subgroup tests: pre-specify protected/substantive subgroups (race/ethnicity, gender, primary language/L1, disability status, SES, course level, assignment genre). Minimum detectable effect (MDE) tables: compute MDEs by simulation across ICC in pre-analysis plan. Analysis procedures: use cluster (course) bootstrap with &gt;=2,000 replicates for CIs, GLMM for regression inference, and cluster-level permutation tests with Holm correction for multiple subgroup comparisons. Ablations and comparisons: (1) ablate oral clarifications while keeping staged drafts; (2) ablate staged drafts while keeping oral checks; (3) authentic design + detection classifier combined vs authentic alone; (4) classifier thresholding rules (asymmetric loss L = c_FP*FP + c_FN*FN) with stakeholder-weighted costs. Robustness checks: quarterly red-team simulations including adaptive attackers that iteratively tune prompts and human+LLM collusion; report metric degradation curves. Pre-registered operating criteria: proceed to adjudicatory use only if lower 95% cluster-bootstrap CI of overall FPR ≤2% and subgroup FPR disparities ≤1 percentage point.</w:t>
      </w:r>
    </w:p>
    <w:p>
      <w:r>
        <w:t xml:space="preserve"> </w:t>
      </w:r>
    </w:p>
    <w:p>
      <w:pPr>
        <w:pStyle w:val="Heading2"/>
      </w:pPr>
      <w:r>
        <w:t>Risk Factors And Limitations</w:t>
      </w:r>
    </w:p>
    <w:p>
      <w:r>
        <w:t>Technical failure modes: classifiers may mis-estimate probabilities under domain shift (new prompt styles or unseen LLMs); adversarial attackers may degrade detector performance beyond evaluated scenarios. Data and evaluation biases: opt-in consent for sensitive signals may create selection bias; small subgroup sizes can produce high-variance disparity estimates. Scalability and cost: oral clarifications and human adjudication increase instructor/TA time and may not scale to large courses without sampling; automated monitoring and maintenance require ongoing engineering effort. Statistical limits: high intraclass correlation (ICC) across courses reduces effective sample size and increases required clusters; multiple subgroup tests raise false-positive risk if multiplicity is not controlled. Generalization limits: results from participating institutions, disciplines, or assignment genres may not generalize to different populations or assessment types. Legal and ethical constraints: privacy rules (FERPA/GDPR) and vendor contracts may limit data collection (raw keystrokes, screen capture), restricting marker validation. Operational constraints: IRB or institutional governance may require changes to pre-registered procedures, affecting timelines and comparability.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