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homogeneity_corp_risk_perceptions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Text-mining transformer embeddings of corporate risk disclosures to quantify perception homogeneity and estimate its causal effect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homogeneity of firm-level risk perceptions causes an increase in systemic financial risk as measured by the 99% 3-month systemic Expected Shortfall (SES).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Recent work extracts firm risk signals from disclosure texts using transformer embeddings and studies embedding drift, causal effects with IV/DiD designs, and network-based systemic-risk simulations. Existing approaches typically (a) treat embeddings as point estimates without formal measurement-error models, (b) report limited propagation of textual uncertainty into downstream systemic-risk metrics, (c) rely on single embedding models or ad hoc pooling rules, and (d) provide only partial OOD/drift analysis and informal privacy for synthetic releases. Network-reconstruction studies reconstruct exposures with max-entropy or sparse priors but often lack end-to-end propagation from text-derived beliefs to calibrated SES estimates. These gaps leave open identification, uncertainty quantification, and reproducibility when connecting disclosure-derived perceptions to systemic outcomes.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reproducible pipeline that uses transformer-based text mining of corporate risk-factor disclosures to extract firm-level perceived risks, quantify homogeneity of those perceptions, and estimate the causal impact of homogeneity on systemic financial risk. We construct a Homogeneity of Market Interpretations (HMI) metric as the quarterly median pairwise cosine similarity of L2-normalized transformer embeddings, and treat embedding outputs as noisy measurements by ingesting ensemble embedding draws into a hierarchical Bayesian errors-in-variables model. Posterior draws of latent perceptions feed (i) causal estimators with instrumented variation (analyst-coverage shocks, filing-timing shocks) and (ii) an ensemble multiplex network simulator calibrated to the 99% 3-month systemic Expected Shortfall (SES). Main contributions are: (1) formal measurement-error propagation from text embeddings to systemic metrics, (2) a pre-registered IV and falsification strategy linking perception homogeneity to SES, and (3) ensemble network reconstruction that reports full posterior uncertainty. Expected outcome: testable causal estimates of how perception homogeneity affects extreme systemic losses and a reproducible package for policy evaluation.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vendor transcripts and filings (Refinitiv/Thomson + SEC EDGAR), market proxies (OptionMetrics for options, Markit CDS for credit spreads), firm fundamentals (Compustat/CRSP), pilot survey (50 firms × 3 respondents), full survey target (200–400 firms × 3 respondents). Preprocessing: sentence segmentation, speaker tagging, fine-tune FinBERT and Longformer; produce 100 ensemble embedding draws per firm-quarter (Monte Carlo noise via dropout/augmentation). Baselines: (A) naive single-embedding HMI (no uncertainty); (B) centroid-dispersion HMI; (C) PCA-first-PC HMI; (D) model-averaged ensemble HMI. Causal estimators: IV (primary instruments: abrupt analyst-coverage/staff shocks and exogenous filing-timing shocks), DiD/event-study, and OLS with measurement-error corrections. Measurement-error methods: hierarchical Bayesian errors-in-variables (primary), SIMEX (robustness), and bootstrap-of-embeddings. Network models: ensemble multiplex reconstruction (contractual, funding, common-asset, belief-similarity layers) vs deterministic max-entropy reconstruction. Primary evaluation metric: estimated causal effect of a 1 standard-deviation increase in HMI on 99% 3-month SES; report posterior median and 90% credible interval. Secondary metrics: first-stage F-statistic (require ≥10, target ≥15), Monte Carlo bias/RMSE/coverage (run 1,000 replications), Spearman correlation between HMI variants, AUC/MMD/KL drift statistics, calibration RMSE vs 2008/2020 loss moments, identifiability diagnostics (prior-posterior overlap PPO, effective sample size ESS). Experimental setup: quarterly frequency; run power and Monte Carlo simulations for IV and treatment effects to produce minimum detectable effects; ablations: (1) remove embedding uncertainty propagation; (2) compare instruments (analyst shocks vs filing timing); (3) disable network channels one-at-a-time (price-mediated, funding, contractual) to decompose SES contributions. Reproducibility: publish canonical code, Docker image, fixed seeds, and a small curated test dataset.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embeddings may be noisy or non-comparable across epochs (domain shift); ensemble draws might not capture true measurement error; drift triggers may be mis-specified. Identification risks: candidate instruments may be weak or violate exclusion restrictions, biasing causal estimates. Data risks: limited survey responses, selection bias, and strategic misreporting in elicited priors. Network reconstruction limits: unobserved exposures can make reconstruction non-identifiable or highly prior-sensitive. Scalability and compute: ensemble embeddings, 200+ posterior networks, and Monte Carlo recoverability require large compute and storage. Generalization: results calibrated on available firms and crises (e.g., 2008, 2020) may not generalize to future structural changes. Privacy: synthetic data releases without formal privacy guarantees risk re-identification. Evaluation biases: calibration to historical extreme events may understate model misspecification in novel crises.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