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military_board_audit_earnings_pk</w:t>
      </w:r>
    </w:p>
    <w:p>
      <w:r>
        <w:t xml:space="preserve"> </w:t>
      </w:r>
    </w:p>
    <w:p>
      <w:pPr>
        <w:pStyle w:val="Heading2"/>
      </w:pPr>
      <w:r>
        <w:t>Title</w:t>
      </w:r>
    </w:p>
    <w:p>
      <w:r>
        <w:t>Staggered difference-in-differences analysis of military-experienced directors and audit-quality effects on accrual and real earnings management in Pakistani non-financial firms</w:t>
      </w:r>
    </w:p>
    <w:p>
      <w:r>
        <w:t xml:space="preserve"> </w:t>
      </w:r>
    </w:p>
    <w:p>
      <w:pPr>
        <w:pStyle w:val="Heading2"/>
      </w:pPr>
      <w:r>
        <w:t>Short Hypothesis</w:t>
      </w:r>
    </w:p>
    <w:p>
      <w:r>
        <w:t>The appointment of military-experienced directors to corporate boards causally reduces firms' accrual-based and real earnings management, and this reduction is larger in firms audited by higher-quality auditors.</w:t>
      </w:r>
    </w:p>
    <w:p>
      <w:r>
        <w:t xml:space="preserve"> </w:t>
      </w:r>
    </w:p>
    <w:p>
      <w:pPr>
        <w:pStyle w:val="Heading2"/>
      </w:pPr>
      <w:r>
        <w:t>Related Work</w:t>
      </w:r>
    </w:p>
    <w:p>
      <w:r>
        <w:t>Existing studies examine how board composition and director backgrounds influence earnings management, and separate streams study audit quality as a check on managerial reporting. Empirical methods used include difference-in-differences, event studies, and instrumental-variables, while measurement of earnings management typically splits accrual-based (accounting adjustments) and real activities (operational choices). Prior work has limitations: (1) heterogeneous treatment timing creates bias for two-way fixed-effects estimators; (2) director biography coding often lacks large-scale validation and ignores classifier measurement error; (3) few studies jointly analyze accrual and real earnings management with audit-quality moderation; (4) instruments for exogenous director supply shocks are rare and often not vetted for direct effects; (5) much evidence is concentrated in developed markets, limiting external validity to emerging markets. Methods for measurement-error correction and modern staggered-DiD estimators are underused in this literature.</w:t>
      </w:r>
    </w:p>
    <w:p>
      <w:r>
        <w:t xml:space="preserve"> </w:t>
      </w:r>
    </w:p>
    <w:p>
      <w:pPr>
        <w:pStyle w:val="Heading2"/>
      </w:pPr>
      <w:r>
        <w:t>Abstract</w:t>
      </w:r>
    </w:p>
    <w:p>
      <w:r>
        <w:t>This study tests whether military-experienced directors on corporate boards affect firms' earnings-management behavior and whether high audit quality strengthens that effect. We use firm-level data for non-financial firms listed on the Pakistan Stock Exchange (2010–2022), combine an NLP pipeline to identify military experience in director bios with manual validation, and estimate causal effects with a staggered difference-in-differences estimator that handles varied appointment timing. We measure accrual-based earnings management with modified-Jones and performance-matched models, and real earnings management with Roychowdhury components aggregated into a composite. We correct for classifier misclassification using SIMEX and report validation-based alternatives. We examine audit-quality moderation using a composite of restatements, going-concern signals, and Big 4 audit status, and present IV analyses using local veteran-supply shocks where feasible. The main contribution is an integrated, reproducible causal analysis that links director military experience, audit quality, and both accrual and real channels of earnings management in an emerging-market setting.</w:t>
      </w:r>
    </w:p>
    <w:p>
      <w:r>
        <w:t xml:space="preserve"> </w:t>
      </w:r>
    </w:p>
    <w:p>
      <w:pPr>
        <w:pStyle w:val="Heading2"/>
      </w:pPr>
      <w:r>
        <w:t>Experiments</w:t>
      </w:r>
    </w:p>
    <w:p>
      <w:r>
        <w:t>Datasets: firm-year panel of non-financial Pakistan Stock Exchange firms 2010–2022; firm financials from Compustat/Thomson or local financial databases; director bios from BoardEx, company filings, and PSX disclosures; audit data (restatements, going-concern, auditor identity, audit fees) from Audit Analytics or local audit registries; analyst data from I/B/E/S where available. NLP validation: stratified 1,000-bio manual sample (strata: year, firm size, industry). Baselines: (A) two-way fixed effects (TWFE) DiD; (B) Sun &amp; Abraham staggered-DiD; (C) Callaway &amp; Sant’Anna staggered-DiD (primary); (D) IV with BRAC/base-locality veteran-supply shocks. Treatment measures: veteran_any (first appointment), veteran_share, veteran_on_audit_committee. Outcomes: (1) accrual-based discretionary accruals (modified-Jones and performance-matched average); (2) real earnings management composite (Roychowdhury abnormal production, abnormal discretionary expenses, abnormal CFO aggregated); (3) audit-quality composite (equal-weighted standardized restatement incidence, going-concern reversed, Big4 reversed). Evaluation metrics: estimated ATT (in SD units) and marginal effects, cluster-robust SEs (firm-level), Romano–Wolf FWER-adjusted p-values for primary family, Benjamini–Hochberg q-values for secondary; first-stage F-statistics, LIML/Anderson-Rubin intervals for IV, NLP precision/recall and Cohen’s kappa for manual labels. Experimental setup: event window −6 to +6, primary inference −4 to +4, firm-clustered SEs, wild-cluster bootstrap if clusters&lt;40. Power: simulate MDE grids across ICC {0.05,0.10,0.20,0.30} and treatment incidence scenarios. Ablations/comparisons: (1) uncorrected vs SIMEX vs validation-based measurement corrections; (2) Callaway &amp; Sant’Anna vs Sun &amp; Abraham vs TWFE; (3) audit-quality composite vs components; (4) exclude buffer zones around instrument localities to test spatial spillovers; (5) DML/Post-Lasso covariate selection vs analyst-chosen covariates. Rare-event checks: compare linear probability models to Firth-penalized logistic and report marginal effects.</w:t>
      </w:r>
    </w:p>
    <w:p>
      <w:r>
        <w:t xml:space="preserve"> </w:t>
      </w:r>
    </w:p>
    <w:p>
      <w:pPr>
        <w:pStyle w:val="Heading2"/>
      </w:pPr>
      <w:r>
        <w:t>Risk Factors And Limitations</w:t>
      </w:r>
    </w:p>
    <w:p>
      <w:r>
        <w:t>Misclassification risk: NLP may mislabel military status and error may vary by firm size, year, or sector, violating nondifferential assumptions. Instrument validity: BRAC/base instruments may have direct local economic effects that violate exclusion. Spillovers and interference: veteran recruitment and audit practices can cross locality borders, biasing estimates. Rare outcomes: restatements and going-concern events are infrequent, producing low power and unstable estimates. Data coverage: director bios, audit records, or firm identifiers may be incomplete for Pakistan, limiting sample and external validity. Unobserved confounding: time-varying firm shocks correlated with veteran appointments may persist despite controls. Multiple testing: many outcomes, windows, and heterogeneity cells increase false-discovery risk if not corrected. Legal/privacy: access and sharing restrictions for biographies and filings may limit replication. Computational: SIMEX, DML, and IV robustness grids require substantial compute for full sensitivity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