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saudi_21cs_oiei_swcrt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Stepped-wedge mixed-methods evaluation of English and mathematics teachers' integration of 21st century skills in Saudi classrooms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Delivering a structured professional development program in a stepped-wedge cluster randomized trial will increase teachers' Observed Instructional Enactment Index (OIEI) by at least 0.30 standard deviations relative to baseline within three measurement periods.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studies document gaps in Saudi classroom practice and curricula with weak emphasis on creativity and critical thinking, and they report teacher-reported barriers such as time, assessment pressure, and lack of PD. Existing work is mainly descriptive, cross-sectional, or small-scale pilots; it rarely uses rigorous cluster-randomized or stepped-wedge causal designs, pre-specified psychometric rules, or integrated fidelity-to-outcome analyses. Limitations include: reliance on self-reports rather than observation-based enactment measures; limited psychometric validation of observational rubrics; sparse causal evidence on PD effects in gender-segregated and low-ICT school streams; weak handling of contamination and time trends; and little guidance on IV/CACE inference when compliance varies. These gaps leave unresolved questions about causal effect sizes, robust measurement of enactment, and operational thresholds for scale-up.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a structured professional development (PD) program increases observable classroom enactment of four 21st century skills—creativity, collaboration, critical thinking, and communication—among English and mathematics teachers in Saudi Arabia. We combine a stepped-wedge cluster randomized trial (SW-CRT) across ~60 schools with a sequential exploratory mixed-methods strand (classroom observations, semi-structured interviews, student artifacts). The primary teacher outcome is the Observed Instructional Enactment Index (OIEI; 0–100), built from 10–12 behaviorally anchored items. Student outcomes are a discipline-specific Student Artifact Composite and a short critical-thinking performance task. Main contributions are: a pre-registered SW-CRT causal test addressing feasibility in Saudi contexts, a psychometrically specified OIEI with rater-reliability rules, and linked qualitative evidence explaining barriers and heterogeneity. Expected outcome: an empirically grounded estimate of PD impact on teacher enactment and student artifacts, plus operational decision thresholds for policy uptake.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Population and sampling: 60 schools stratified by region, urban/rural, and gender stream; target ~10 eligible teachers per school (English or mathematics), and 5–10 students per teacher for artifact tasks. Qualitative sample: purposive 18–24 teachers for pre/post case studies. Design: stepped-wedge cluster randomized trial with 6 steps (~10 schools per step), baseline plus 6 measurement periods (every 8 weeks). Randomization unit: school. Intervention arms: (A) standard PD (workshop + materials) rolled out by step (primary rollout); (B) PD + coaching (higher-intensity) as an embedded ablation comparison where feasible (random subset of treated clusters receive coaching). Baselines: delayed-intervention control (schools scheduled later in SW-CRT) and PD-only vs PD+coaching contrast. Measures: teacher primary outcome OIEI (0–100, mean of two independent observations), student Artifact Composite (0–100), Short Performance Task (0–100). Psychometric checks: McDonald's omega, corrected item-total correlations, graded-response IRT discrimination, rater ICC (two-way absolute). Evaluation metrics: primary effect size in SD units (target detection 0.30 SD for OIEI), mixed-effects regression coefficients, 95% CI, p-values; model diagnostics include ICCs, residual plots, and reliability indices. Analysis models: multilevel mixed-effects model with random intercepts for school and teacher, fixed categorical period effects, covariates (baseline score, subject, teacher experience, gender, class size, school SES, urban/rural); cluster-robust SEs; small-sample inference via Kenward-Roger or wild-cluster bootstrap and permutation tests as sensitivity. IV/CACE analysis: instrument = random assignment to earlier rollout; complier definition = fidelity &gt;=70% and &gt;=2 coaching visits; diagnostics: first-stage F, cluster-aware partial R2. Missing data: multilevel multiple imputation (20–50 imputations) including instrument, treatment, fidelity and time-varying auxiliaries; report MI combined estimates. Comparisons and ablations: (1) ITT vs CACE estimates; (2) PD-only vs PD+coaching (coaching ablation); (3) fidelity threshold analysis (&gt;=70% vs &lt;70%); (4) sensitivity grid for contamination 0–30%, compliance 30–90%, attrition scenarios (teachers 5–15% per period). Pre-registration outputs: analysis code with seed, SW schedule, exact model formulas, and simulation-based power tables under varied ICCs (teacher ICC 0.01–0.10, school ICC 0.01–0.14) and AR(1) autocorrelation grid (0.30–0.80).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Low compliance or low fidelity to PD could reduce effect sizes and weaken IV first stage. Control-arm contamination (informal sharing) may bias ITT toward null. Observer reactivity (teachers changing behavior when observed) can inflate short-term enactment measures. Measurement risks: OIEI may show multidimensionality, measurement non-invariance across subject streams or gendered schools, or low rater reliability. Small cluster count or unequal cluster-period sizes can harm statistical inference and require small-sample adjustments. Missing data may be MNAR (missing not at random) and bias estimates despite MI. IV/CACE assumptions (exclusion, monotonicity) may be fragile in centralized school systems with transfers or administrative mandates. Generalization limits: findings may not extend beyond sampled regions, streams (girls/boys), or to subjects beyond English and mathematics. Data governance and consent constraints (video in girls' schools, PDPL rules) may limit media-based triangulation.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