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reproducing_inequality_social_capital_digital_literacy_ses</w:t>
      </w:r>
    </w:p>
    <w:p>
      <w:r>
        <w:t xml:space="preserve"> </w:t>
      </w:r>
    </w:p>
    <w:p>
      <w:pPr>
        <w:pStyle w:val="Heading2"/>
      </w:pPr>
      <w:r>
        <w:t>Title</w:t>
      </w:r>
    </w:p>
    <w:p>
      <w:r>
        <w:t>Regression-based mediation and IV analysis of how social capital, digital literacy, and socioeconomic status shape access to higher education in China</w:t>
      </w:r>
    </w:p>
    <w:p>
      <w:r>
        <w:t xml:space="preserve"> </w:t>
      </w:r>
    </w:p>
    <w:p>
      <w:pPr>
        <w:pStyle w:val="Heading2"/>
      </w:pPr>
      <w:r>
        <w:t>Short Hypothesis</w:t>
      </w:r>
    </w:p>
    <w:p>
      <w:r>
        <w:t>Greater social capital causally increases the probability that Chinese high school graduates apply to and enroll in higher education, and part of this effect is mediated by higher digital literacy while the mediated effect size is larger for students with higher socioeconomic status.</w:t>
      </w:r>
    </w:p>
    <w:p>
      <w:r>
        <w:t xml:space="preserve"> </w:t>
      </w:r>
    </w:p>
    <w:p>
      <w:pPr>
        <w:pStyle w:val="Heading2"/>
      </w:pPr>
      <w:r>
        <w:t>Related Work</w:t>
      </w:r>
    </w:p>
    <w:p>
      <w:r>
        <w:t>Prior work finds that social capital (helpful ties and networks) and digital literacy (ability to use digital tools effectively) are associated with higher college application and enrollment rates. Many studies use cross-sectional regressions or basic matching, showing advantages concentrate among higher-SES students. Limitations of existing approaches include weak temporal ordering (making mediation claims uncertain), limited handling of measurement error in task scores and network reports, sparse use of causal mediation methods, reliance on single estimators that are sensitive to model specification, and few strong quasi-experiments or instrument diagnostics. Research on digital equality highlights access gaps but often omits how networks and skills interact across SES. Gaps remain in jointly estimating parallel mediators, testing instrument validity, reporting power for indirect effects, and explicitly modeling multilevel clustering by school.</w:t>
      </w:r>
    </w:p>
    <w:p>
      <w:r>
        <w:t xml:space="preserve"> </w:t>
      </w:r>
    </w:p>
    <w:p>
      <w:pPr>
        <w:pStyle w:val="Heading2"/>
      </w:pPr>
      <w:r>
        <w:t>Abstract</w:t>
      </w:r>
    </w:p>
    <w:p>
      <w:r>
        <w:t>This study tests how social capital, digital literacy, and socioeconomic status (SES) jointly influence access to higher education among Chinese high school graduates. Using survey data (n=629 across western, central, and eastern provinces) plus available administrative records, we estimate total, mediated, and complier (LATE) effects of social capital on college application and enrollment. Methods combine time-ordered mediation models, multilevel regression, and quasi-experimental IV approaches when a plausibly exogenous instrument (e.g., broadband rollout timing or counselor assignment) is available. We pre-specify latent-variable measurement for digital literacy and social capital to address measurement error, and compare estimators (outcome regression, IPW, TMLE with cross-fit SuperLearner) to assess robustness. The main contribution is a reproducible, estimator-robust analysis that quantifies direct and indirect (via digital literacy) pathways and tests whether SES moderates mediated effects. Expected outcome: clear, quantified estimates of mediation and moderation that clarify mechanisms linking social networks and digital skills to higher-education access in China.</w:t>
      </w:r>
    </w:p>
    <w:p>
      <w:r>
        <w:t xml:space="preserve"> </w:t>
      </w:r>
    </w:p>
    <w:p>
      <w:pPr>
        <w:pStyle w:val="Heading2"/>
      </w:pPr>
      <w:r>
        <w:t>Experiments</w:t>
      </w:r>
    </w:p>
    <w:p>
      <w:r>
        <w:t>Datasets: primary survey (n=629) collected across western, central, eastern provinces with T0 baseline, T1 midline (3-6 months), T2 outcome (9-12 months); linked school administrative records for prior achievement and counselor contacts; instrument data (broadband-rollout timing or counselor assignment) where available. Baselines: (1) OLS multilevel regression with school fixed effects and CovSet_A (minimal covariates); (2) OLS with CovSet_B and CovSet_C robustness sets; (3) IPW using CovSet_B; (4) Doubly-robust/TMLE with SuperLearner (library: GLM with pairwise interactions, LASSO, GAM, RandomForest, XGBoost) and 5-fold cross-fitting; (5) IV/2SLS and LIML for LATE when instrument present; (6) latent-variable mediation (multilevel CFA/IRT) for DigitalLiteracy and SocialCapital. Evaluation metrics: average treatment effect (ATE) or TE, natural indirect effect (NIE) and natural direct effect (NDE) with bootstrap CIs (clustered by SchoolID, 1000 reps), LATE and first-stage F and partial R2, standard errors, p-values, E-values, Oster delta, and mediator–outcome sensitivity plots. Experimental setup: primary analysis uses TMLE on CovSet_B with clustered SEs; compare point estimates and CIs across OLS, IPW, TMLE, and IV. Ablation studies: (A) drop mediators to report TE vs mediation; (B) compare observed mediator scores vs latent corrected scores to assess measurement-error impact; (C) estimator ablation comparing OLS, IPW, TMLE; (D) instrument diagnostics ablation: report results with and without weak-instrument robust methods (Anderson-Rubin, LIML) if first-stage F&lt;10. Subgroup analyses: estimate effects by SES terciles and school type (urban/rural). All models: cluster-robust SEs by SchoolID and report model fit and diagnostics. Pre-specified seeds and file names will be used for reproducibility.</w:t>
      </w:r>
    </w:p>
    <w:p>
      <w:r>
        <w:t xml:space="preserve"> </w:t>
      </w:r>
    </w:p>
    <w:p>
      <w:pPr>
        <w:pStyle w:val="Heading2"/>
      </w:pPr>
      <w:r>
        <w:t>Risk Factors And Limitations</w:t>
      </w:r>
    </w:p>
    <w:p>
      <w:r>
        <w:t>Unmeasured confounding: mediator–outcome confounders not observed can bias mediation estimates. Measurement error: task scores and name-generator reports may be noisy and affect estimated indirect effects. Weak instruments: broadband timing or assignment may be weak or violate exclusion, limiting LATE credibility. Sample size: n=629 may limit power to detect small NIEs, especially with multilevel clustering. Attrition and missing data: nonrandom dropout or MNAR missingness can bias results. Generalizability: sample from selected provinces may not represent all of China. Interference: peer effects within schools may violate no-interference assumptions. Model dependence: different estimators (TMLE, IPW, OLS, IV) can yield divergent results. Multiple testing: many estimands and subgroup tests increase false-discovery risk. DIF (differential item functioning): tasks/items may not be measurement-equivalent across SES groups, biasing latent scores.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