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chatgpt4_prompt_texts_reading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Using ChatGPT-4 to generate student-prompted texts to improve 4th-grade reading comprehension and motivation: a sequential explanatory mixed-methods study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4th-grade students with reading texts generated by ChatGPT-4 from their own prompts increases inferential reading comprehension at immediate posttest compared with teacher-selected texts.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evaluates (a) traditional reading interventions that use teacher-selected or leveled texts, (b) personalized or adaptive digital reading tools, and (c) early investigations of large language models (LLMs) in classroom tasks. Limitations across these streams include: few randomized or cluster-randomized trials testing LLM-generated instructional content; limited attention to rigorous psychometric outcomes (for example, latent-item-response-theory measures of inferential comprehension); inadequate handling of safety, personalization fidelity, and teacher moderation burden for AI-generated texts; and sparse mixed-methods work linking process-level classroom behavior to measured outcomes. Prior automated text-quality checks often focus on surface readability and toxicity but do not calibrate semantic alignment to student prompts or document teacher edits at scale. Missing-data, small-cluster inference, and equity impacts (language-status, SES) are under-addressed in current LLM-in-education studies.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Fourth-grade students often need more engaging, personalized texts to practice reading and inferential comprehension. Approach: We use ChatGPT-4 to generate short reading passages from each student’s own written prompt and evaluate effects with a sequential explanatory mixed-methods design combining a Solomon four-group experiment and a case-study qualitative sample. Main contribution: We test whether AI-generated, student-prompted texts improve an IRT-derived latent inferential-comprehension score (an IRT score is a single precision estimate of ability built from many questions) at immediate posttest, while documenting personalization fidelity, teacher edits, safety flags, and student motivation. Expected outcome: Clear estimates of average treatment effects and mechanisms linking personalization and teacher moderation to comprehension gains, plus validated QC thresholds and qualitative explanations of classroom processes.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Solomon four-group sequential explanatory mixed-methods design. Participants: ~106 fourth-grade students across two public primary schools (classroom is cluster unit). Arms and conditions: (A) AI-generated texts from student prompts with automated QC gate; (B) AI-generated texts plus teacher moderation (teachers may edit); (C) teacher-selected texts control. Randomization: classroom-level assignment to arms with pretest/posttest subgroups per Solomon design. Primary outcome: IRT-derived latent inferential-comprehension score at immediate posttest (IRT = item response theory, a method that models item difficulty and student ability to produce a single latent score). Secondary outcomes: literal and evaluative IRT subscales, standardized reading-fluency rates (words per minute), standardized reading-motivation questionnaire score, personalization_similarity (cosine similarity between prompt and text embeddings), coherence_score (model-based coherence), and teacher-review time per text (minutes). Analysis: primary ITT multilevel ANCOVA with students nested in class: Post_IRT ~ Treatment + Pre_IRT + BaselineReading + BaselineMotivation + Grade + SES + (1 | Class). Report per-protocol and complier-average causal effect (CACE) via IV (assignment as instrument). Missing data: multilevel FCS multiple imputation (mice/miceadds). Sensitivity: delta-adjustment MNAR grid {0, -0.1, -0.2 SD}. Baselines: teacher-selected texts and an ablation arm where AI texts omit student-specific details (to test personalization mechanism). Ablation studies: (1) compare AI-with-personalization vs AI-without-personalization; (2) compare automated-QC pass vs teacher-moderated texts; (3) vary personalization_similarity threshold (0.50, 0.60, 0.70) and report effects. Evaluation metrics: effect size (Cohen's d) on primary IRT score, 95% CI, cluster-robust SEs or randomization-inference p-values depending on cluster count, AUC/ROC for QC detectors, and confusion matrices for semantic-change detection.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safety failures: LLM may produce toxic, biased, or inappropriate content despite filters. Personalization mismatch: generated texts may not align with student intent or background, harming engagement. Teacher burden: moderation time may be substantial and reduce fidelity. Psychometric limits: small calibration sample may reduce IRT parameter stability; IRT assumptions (e.g., unidimensionality) may be violated. Sample and clustering: two-school sample and modest cluster count limit generalizability and statistical power; small number of clusters complicates inference. Detection bias: QC detectors (readability, personalization, coherence) may perform worse for multilingual or low-SES students, introducing fairness issues. Missing data and attrition: differential dropout by arm can bias estimates and require strong MNAR assumptions for sensitivity checks. Compute and reproducibility: running large QC/simulation grids and embedding calculations requires nontrivial compute and precise versioning of the LLM and NLP tools, limiting exact replication if model versions change.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