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fuzzy_precautionary_planning</w:t>
      </w:r>
    </w:p>
    <w:p>
      <w:r>
        <w:t xml:space="preserve"> </w:t>
      </w:r>
    </w:p>
    <w:p>
      <w:pPr>
        <w:pStyle w:val="Heading2"/>
      </w:pPr>
      <w:r>
        <w:t>Title</w:t>
      </w:r>
    </w:p>
    <w:p>
      <w:r>
        <w:t>Fuzzy-distinction modeling for planning precautionary areas around western Taiwan offshore wind farms</w:t>
      </w:r>
    </w:p>
    <w:p>
      <w:r>
        <w:t xml:space="preserve"> </w:t>
      </w:r>
    </w:p>
    <w:p>
      <w:pPr>
        <w:pStyle w:val="Heading2"/>
      </w:pPr>
      <w:r>
        <w:t>Short Hypothesis</w:t>
      </w:r>
    </w:p>
    <w:p>
      <w:r>
        <w:t>Integrating AIS-based navigation density, ecological sensitivity layers, and wind/hydrodynamic indicators with a fuzzy-distinction method yields precautionary-area maps that achieve higher spatial agreement with independent validation data (fuzzy Kappa ≥ 0.70) than maps produced by crisp rule-based zoning.</w:t>
      </w:r>
    </w:p>
    <w:p>
      <w:r>
        <w:t xml:space="preserve"> </w:t>
      </w:r>
    </w:p>
    <w:p>
      <w:pPr>
        <w:pStyle w:val="Heading2"/>
      </w:pPr>
      <w:r>
        <w:t>Related Work</w:t>
      </w:r>
    </w:p>
    <w:p>
      <w:r>
        <w:t>Existing approaches to offshore wind farm precautionary planning use separate threads of methods: AIS (Automatic Identification System) data and kernel densities for navigation risk; species distribution models (SDMs) and habitat maps for ecological sensitivity; hydrodynamic and wind models for physical constraints; and multi-criteria decision analysis (MCDA) or buffer-based rules for zoning. Some studies apply fuzzy logic to combine uncertain inputs, but most use simple fuzzy aggregation without formal dependence modeling. Limitations in current work include: (1) rule-based buffers and crisp zoning do not represent indicator uncertainty or partial risk; (2) many fuzzy aggregations assume indicators are independent and ignore statistical dependence, producing over- or under-confident maps; (3) few methods propagate joint uncertainty from correlated inputs to final zoning decisions or report how dependence changes exclusion areas; (4) scalability and reproducibility are unevenly addressed, with limited benchmark runtimes or CI-tested code artifacts. These gaps reduce regulatory defensibility and make trade-offs between safety, ecology, and energy returns hard to quantify.</w:t>
      </w:r>
    </w:p>
    <w:p>
      <w:r>
        <w:t xml:space="preserve"> </w:t>
      </w:r>
    </w:p>
    <w:p>
      <w:pPr>
        <w:pStyle w:val="Heading2"/>
      </w:pPr>
      <w:r>
        <w:t>Abstract</w:t>
      </w:r>
    </w:p>
    <w:p>
      <w:r>
        <w:t>We address the problem of designing precautionary areas (PAs) for offshore wind farms off western Taiwan under input uncertainty and interdependent risks. We propose a fuzzy-distinction modeling pipeline that fuses AIS-derived navigation density (AIS = ship tracking data), ecological sensitivity layers (from species models), and wind/hydrodynamic indicators using fuzzy logic (a method that maps uncertain inputs to graded membership values). The pipeline explicitly models dependence among indicators using copulas (statistical functions that describe joint dependence) and propagates uncertainty with Monte Carlo ensembles to compute membership values for precautionary status and alpha-cuts (threshold levels that define exclusion or conditional zones). The main contribution is an end-to-end, reproducible framework that quantifies how dependence and fuzzification choices affect exclusion area and decision stability. Expected outcomes are PA maps with validated spatial agreement to independent data, numerical criteria for alpha-band decisions, and documented computational benchmarks for reproducibility. The approach improves transparent trade-offs among navigational safety, ecology, and energy planning.</w:t>
      </w:r>
    </w:p>
    <w:p>
      <w:r>
        <w:t xml:space="preserve"> </w:t>
      </w:r>
    </w:p>
    <w:p>
      <w:pPr>
        <w:pStyle w:val="Heading2"/>
      </w:pPr>
      <w:r>
        <w:t>Experiments</w:t>
      </w:r>
    </w:p>
    <w:p>
      <w:r>
        <w:t>Datasets: AIS historical tracks (≥12 months) for the Changhua–West Penghu pilot area; multibeam bathymetry; seabed substrate/habitat maps; ERA5/WRF hub-height wind fields; ADCP and tide-gauge currents; wave model outputs (WW3/SWAN); seabird/marine-mammal surveys or radar counts; fisheries VMS or AIS-derived fishing effort. Preprocessing: reproject to a common grid at 100 m resolution, compute seasonal aggregates, and derive indicator rasters with fuzzified memberships (values in [0,1]). Baselines: (A) crisp buffer zoning (fixed-distance exclusion around features), (B) weighted-sum MCDA (linear aggregation of normalized indicators), (C) fuzzy aggregation assuming independence (no copula). Proposed variants: fuzzy-distinction with dependence modeled by copulas. Dependence models: Gaussian copula, t-copula, Clayton, Gumbel, empirical copula, and C-/D-vine; margins fitted by IFM (inference functions for margins) or semiparametric ranks. Uncertainty propagation: generate Monte Carlo ensembles (N=100, 500) per copula; compute resulting precautionary membership μPR per cell and alpha-cut areas for α = {0.2,0.6,0.8}. Evaluation metrics: fuzzy Kappa against independent validation layers (target ≥0.70); SDM ROC AUC for species models (target ≥0.85); ensemble relative error IQR/median for μPR (report); alpha-cut area change (%) across copulas (accept if ≤10%); hydrodynamic fit bias/RMSE (currents bias ≤0.10 m/s, RMSE ≤0.20 m/s). Experimental design: run spatial block cross-validation for SDMs and μPR, and rolling-window temporal CV for time series. Ablations and comparisons: (1) dependence vs independence (compare alpha areas and fuzzy Kappa), (2) fuzzification functions triangular vs Gaussian (compare μPR distributions), (3) neighborhood size m ∈ {100,250,500} to assess sensitivity, (4) copula family ablation to quantify dependence-induced area change. Report runtime and memory for a 1,000,000-cell grid and for a 100k-cell benchmark; provide reproducible notebooks and containerized runs.</w:t>
      </w:r>
    </w:p>
    <w:p>
      <w:r>
        <w:t xml:space="preserve"> </w:t>
      </w:r>
    </w:p>
    <w:p>
      <w:pPr>
        <w:pStyle w:val="Heading2"/>
      </w:pPr>
      <w:r>
        <w:t>Risk Factors And Limitations</w:t>
      </w:r>
    </w:p>
    <w:p>
      <w:r>
        <w:t>1) Data bias: AIS and survey data may under-sample small vessels or rare species, producing biased SDMs and navigation density patterns. 2) Dependence misspecification: chosen copula families may not capture true joint tails, causing underestimation of extreme joint risk. 3) Elicitation uncertainty: expert-derived fuzzification parameters may be inconsistent or poorly calibrated, affecting membership assignments. 4) Computational limits: full-grid ensembles with large neighborhoods (m≈500) may require high memory and compute; performance may degrade on limited cloud instances. 5) Validation gaps: independent validation layers for ecology or navigation may be sparse, reducing confidence in fuzzy Kappa estimates. 6) Scale transferability: models tuned for the Changhua–West Penghu pilot may not generalize to other regions without re-calibration. 7) Decision mapping limits: mapping ensemble uncertainty to binary permit outcomes may remain partly subjective and sensitive to alpha thresholds. 8) Legal/data governance constraints: AIS/VMS raw data sharing or anonymization rules may limit reproducibility of full pipelines.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