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aesthetics_comparativeness_islam</w:t>
      </w:r>
    </w:p>
    <w:p>
      <w:r>
        <w:t xml:space="preserve"> </w:t>
      </w:r>
    </w:p>
    <w:p>
      <w:pPr>
        <w:pStyle w:val="Heading2"/>
      </w:pPr>
      <w:r>
        <w:t>Title</w:t>
      </w:r>
    </w:p>
    <w:p>
      <w:r>
        <w:t>An interdisciplinary computational annotation and modeling approach to detect aesthetic comparativeness and theological risk in Islamic texts and visual programs</w:t>
      </w:r>
    </w:p>
    <w:p>
      <w:r>
        <w:t xml:space="preserve"> </w:t>
      </w:r>
    </w:p>
    <w:p>
      <w:pPr>
        <w:pStyle w:val="Heading2"/>
      </w:pPr>
      <w:r>
        <w:t>Short Hypothesis</w:t>
      </w:r>
    </w:p>
    <w:p>
      <w:r>
        <w:t>A structured multi-layer annotation scheme that records DEVICE, MARKER, SOURCE/TARGET_DOMAIN, and THEOLOGICAL_RISK will yield higher span-F1 for comparative-device detection and higher recall for theological-risk items than a lexical-rule baseline across Arabic, Persian, Ottoman Turkish, and Urdu corpora.</w:t>
      </w:r>
    </w:p>
    <w:p>
      <w:r>
        <w:t xml:space="preserve"> </w:t>
      </w:r>
    </w:p>
    <w:p>
      <w:pPr>
        <w:pStyle w:val="Heading2"/>
      </w:pPr>
      <w:r>
        <w:t>Related Work</w:t>
      </w:r>
    </w:p>
    <w:p>
      <w:r>
        <w:t>Prior work includes automatic metaphor and figurative language detection, cross-lingual transformer models for sequence tagging, historical text recognition (HTR) pipelines for non-Latin scripts, and digital annotation platforms for literary and visual materials. Limitations: metaphor/figurative detectors often target single languages and lack explicit source-target domain labeling; most models treat detection as token or sentence classification rather than span+relation annotation; prior corpora seldom integrate visual motifs or architectural region selectors; HTR systems for ornate hands and Ottoman scripts show high error rates that degrade downstream tagging; existing resources do not encode theological sensitivity or escalation workflows. Ontology-driven tagging and human-in-the-loop active learning exist in other DH projects but are not combined with a theological-risk tier or cross-media (text+image+3D) annotation for historical Islamic materials.</w:t>
      </w:r>
    </w:p>
    <w:p>
      <w:r>
        <w:t xml:space="preserve"> </w:t>
      </w:r>
    </w:p>
    <w:p>
      <w:pPr>
        <w:pStyle w:val="Heading2"/>
      </w:pPr>
      <w:r>
        <w:t>Abstract</w:t>
      </w:r>
    </w:p>
    <w:p>
      <w:r>
        <w:t>We present an interdisciplinary method to detect aesthetic comparativeness in Islamic texts and visual programs and to flag doctrinally sensitive usages. The method uses a structured annotation schema capturing DEVICE (e.g., simile, metaphor), MARKER (lexical or motif cues), SOURCE and TARGET semantic domains drawn from a controlled SKOS ontology, and a three-tier THEOLOGICAL_RISK flag. We create a stratified pilot corpus across Arabic, Persian, Ottoman Turkish, and Urdu that includes manuscript folios, poetry, tafsir, hadith excerpts, inscriptions, and architectural imagery. From a gold adjudicated annotation set we train multi-task sequence models that jointly predict spans, device relations, domain mappings, and risk tiers. The main contribution is an end-to-end pipeline that links humanities-grounded annotation, HTR/OCR inputs, ontology governance, and model-led active learning to improve automated identification of comparative aesthetic language while making theological sensitivity auditable. Expected outcome: reproducible annotation artifacts, a validated pilot model improving detection over lexical baselines, and clear metrics for theological-risk recall and adjudication workflow performance.</w:t>
      </w:r>
    </w:p>
    <w:p>
      <w:r>
        <w:t xml:space="preserve"> </w:t>
      </w:r>
    </w:p>
    <w:p>
      <w:pPr>
        <w:pStyle w:val="Heading2"/>
      </w:pPr>
      <w:r>
        <w:t>Experiments</w:t>
      </w:r>
    </w:p>
    <w:p>
      <w:r>
        <w:t>Datasets: pilot corpus of 12-15 stratified items (Qur'an 24:35 tafsir excerpt, Sahih Muslim hadith excerpt, al-Ghazali, Ibn Sina, Suhrawardi, Ibn ʿArabī, Rumi and Hafez ghazals, Alhambra Court of Lions program, Dome of the Rock mosaics, Seljuk muqarnas 3D capture, Safavid Imam Mosque frieze, Bihzad miniature, Ottoman calligraphy). Expand to training set by collecting 300k-500k words of aligned classical prose/poetry and 100 high-resolution IIIF images with region selectors. Annotation: double annotation in INCEpTION; adjudicated gold set target 500-1,000 spans. Baselines: (A) lexical-rule system using marker regex lists by language, (B) multilingual transformer token classifier for metaphor detection (no ontology), (C) transformer span detector for DEVICE only. Proposed models: multi-task transformer+CRF that predicts span boundaries (CRF: Conditional Random Field, a model for sequence labeling), DEVICE label, SOURCE/TARGET domain IDs (multi-label), and THEOLOGICAL_RISK tier. Input representations: script-aware tokenization (Arabic-script tokenizer) and optional transliteration feature column. HTR/OCR input: use modern OCR outputs and HTR outputs for manuscripts; run experiments with (i) clean transcriptions, (ii) OCR with realistic noise injected (20-40% word error rate) to test robustness. Training/validation/test split: stratified by language and genre; 5-fold cross-validation for statistical stability. Metrics: span-F1 for DEVICE spans, per-class precision/recall/F1 for DEVICE and domain tags, exact-match accuracy for SOURCE/TARGET pair, Cohen's kappa and Krippendorff's alpha for inter-annotator agreement (IAA), calibration ECE (expected calibration error) for risk predictions, recall and precision for THEOLOGICAL_RISK Tier-3 items (target reported). Ablations: remove ontology input (no domain IDs), remove MARKER lexicon preflags, train language-specific vs multilingual models, and test without transliteration feature. Additional study: evaluate effect of OCR noise by comparing model performance on clean vs noisy transcriptions and measure drop in DEVICE span-F1. Statistical tests: paired bootstrap or McNemar for significance; report confidence intervals. Compute estimates: initial runs on one GPU (e.g., 16GB) for baseline tuning; full multi-task training on a single 24-32GB GPU with estimated 100-300 GPU-hours for hyperparameter grid. Hyperparameter grid: learning rate {1e-5,3e-5,5e-5}, batch size {8,16,32}, dropout {0.1,0.2}, CRF vs softmax output. Expected deliverables: gold set, baseline scores, ablation table, error analysis by genre/period, and ROC/precision-recall curves for risk tiers.</w:t>
      </w:r>
    </w:p>
    <w:p>
      <w:r>
        <w:t xml:space="preserve"> </w:t>
      </w:r>
    </w:p>
    <w:p>
      <w:pPr>
        <w:pStyle w:val="Heading2"/>
      </w:pPr>
      <w:r>
        <w:t>Risk Factors And Limitations</w:t>
      </w:r>
    </w:p>
    <w:p>
      <w:r>
        <w:t>Technical failures: poor HTR/OCR quality for ornate hands or Ottoman scripts may produce high noise that reduces span detection and domain mapping accuracy. Data bias: pilot sampling may over-represent canonical authors/sites, limiting generalization to vernacular or non-canonical materials. Annotation ambiguity: cultural and theological disagreements can yield low IAA for contested DEVICE or risk labels. Scalability: multi-task models and active learning require GPU compute and adjudication labor; resource limits may constrain model tuning. Generalization limits: model trained on medieval/pre-modern Moroccan and Indonesian exemplars may not transfer to other regions or later periods. Evaluation limits: small gold set sizes can inflate variance of metrics; Tier-3 theological items are rare, producing low-support estimates. Governance and ethics: delays or vetoes by communities or advisory board can restrict public release of sensitive items and reduce available training data. Security: escrow and embargo operations require strict audit tooling; human error in access control could leak sensitive material.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