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thermalscapes_informal_shading_cuiaba</w:t>
      </w:r>
    </w:p>
    <w:p>
      <w:r>
        <w:t xml:space="preserve"> </w:t>
      </w:r>
    </w:p>
    <w:p>
      <w:pPr>
        <w:pStyle w:val="Heading2"/>
      </w:pPr>
      <w:r>
        <w:t>Title</w:t>
      </w:r>
    </w:p>
    <w:p>
      <w:r>
        <w:t>Ethnography and participatory biosensing to estimate causal effects of informal shading on pedestrian thermal exposure in an urban retail centre</w:t>
      </w:r>
    </w:p>
    <w:p>
      <w:r>
        <w:t xml:space="preserve"> </w:t>
      </w:r>
    </w:p>
    <w:p>
      <w:pPr>
        <w:pStyle w:val="Heading2"/>
      </w:pPr>
      <w:r>
        <w:t>Short Hypothesis</w:t>
      </w:r>
    </w:p>
    <w:p>
      <w:r>
        <w:t>Installing informal shading (fabric or vegetative) on pedestrian retail street segments causes a reduction in mean pedestrian mean radiant temperature (Tmrt) of at least 0.5°C relative to matched unshaded segments during the same daytime periods.</w:t>
      </w:r>
    </w:p>
    <w:p>
      <w:r>
        <w:t xml:space="preserve"> </w:t>
      </w:r>
    </w:p>
    <w:p>
      <w:pPr>
        <w:pStyle w:val="Heading2"/>
      </w:pPr>
      <w:r>
        <w:t>Related Work</w:t>
      </w:r>
    </w:p>
    <w:p>
      <w:r>
        <w:t>Existing work uses three main approaches: (1) satellite or drone land surface temperature (LST) mapping to show surface cooling, (LST = temperature of ground/roof surfaces) but LST does not directly measure human thermal exposure; (2) urban microclimate sensor studies that report air temperature or globe readings at a small set of fixed points, often without full radiometric calibration or uncertainty propagation; and (3) social/qualitative studies documenting how shading affects behaviour and commerce. Limitations across these approaches include weak causal identification (few controlled or preregistered DiD designs), limited fusion between radiometric LST and pedestrian mean radiant temperature (Tmrt = the radiation‑based temperature people sense), inadequate calibration/uncertainty budgets for thermal sensors, short or small sample baselines, and little integration of ethnographic evidence to explain mechanisms. Agent‑based and policy studies show promise but often validate with aggregated or simulated outcomes rather than validated pedestrian Tmrt measures. Spatial spillovers and staggered, temporary installations are also under‑addressed.</w:t>
      </w:r>
    </w:p>
    <w:p>
      <w:r>
        <w:t xml:space="preserve"> </w:t>
      </w:r>
    </w:p>
    <w:p>
      <w:pPr>
        <w:pStyle w:val="Heading2"/>
      </w:pPr>
      <w:r>
        <w:t>Abstract</w:t>
      </w:r>
    </w:p>
    <w:p>
      <w:r>
        <w:t>This study measures how informal shading practices change pedestrian thermal exposure in a hot city centre by combining ethnography, participatory biosensing and radiometric mapping. We deploy a stratified sensor network (fixed black‑globe nodes and mobile transects), repeated radiometric drone flights, and semi‑structured shadowing/interviews to link measured thermal doses to everyday shading use. We fuse radiometric LST, 3D geometry and material maps to estimate Tmrt (the radiation temperature people experience) and quantify uncertainty via Monte‑Carlo ensembles. Causal effects of temporary pilot shading installs will be preregistered and estimated using difference‑in‑differences and modern staggered‑adoption estimators to allow heterogeneous treatment effects. Main contributions are (1) an integrated, validated pipeline that converts remote and in‑situ measurements into person‑level thermal exposure with uncertainty, and (2) a preregistered causal evaluation linking informal shading types to changes in Tmrt and standardized comfort indices (PET/UTCI/WBGT). Expected outcomes include quantified cooling effect sizes, validated radiative‑fusion Tmrt products, and social evidence to interpret mechanisms for policy and design.</w:t>
      </w:r>
    </w:p>
    <w:p>
      <w:r>
        <w:t xml:space="preserve"> </w:t>
      </w:r>
    </w:p>
    <w:p>
      <w:pPr>
        <w:pStyle w:val="Heading2"/>
      </w:pPr>
      <w:r>
        <w:t>Experiments</w:t>
      </w:r>
    </w:p>
    <w:p>
      <w:r>
        <w:t>Datasets: (a) Fixed sensor network: 30–60 stratified nodes with 150 mm black globes (globe sensor = radiation‑sensing thermometer), aspirated air‑temp/RH probes, ultrasonic anemometers; continuous 1‑min logging for 30+ hot days. (b) Mobile transects: 30 distinct transects, each repeated 10–15 times, using handheld 60 mm globes/IR and GPS. (c) Radiometric drone: ≥6 daytime thermal flights (peak solar ±1 h) + 3 night flights; orthomosaic and DSM from RGB and LiDAR/SfM; ≥4 ground thermal reference targets per flight. (d) Qualitative: 60 semi‑structured interviews and 40 shadowing episodes (100–120 observation hours). Baselines: matched unshaded street segments, pre‑intervention windows (≥14 days), and weather‑matched control days via nearest‑neighbor matching on Ta/RH/solar. Methods compared (baselines): two‑way fixed effects DiD, Callaway &amp; Sant’Anna staggered estimator, Sun &amp; Abraham event‑study estimator, and synthetic control for short pilot installs. Primary metric: ΔTmrt (°C) computed from 150 mm globes and from radiative fusion; secondary metrics: PET, UTCI, WBGT (comfort indices), degree‑hours above specified thresholds. Validation metrics: RMSE and mean bias of fusion Tmrt vs globe (target reporting), CI coverage rate for Monte‑Carlo Tmrt distributions, cluster‑robust SEs and permutation p‑values for DiD ATT. Sampling &amp; sync: log at 1‑min cadence, compute analysis averaging window as 3‑minute rolling mean for globe to respect thermal time constants; all devices NTP/UTC synced. Calibration &amp; uncertainty: lab calibration + 48–72 h co‑location; Monte‑Carlo propagation with ≥10,000 draws perturbing sensor noise, emissivity and geolocation error. Ablation studies: (1) Remove radiometric fusion: compare DiD ATT using globe-only data vs fused Tmrt to test added value of remote sensing; (2) Estimator ablation: compare two‑way FE DiD vs Callaway &amp; Sant’Anna vs Sun &amp; Abraham to assess bias under staggered adoption; (3) Uncertainty ablation: compare inference with no uncertainty propagation, Monte‑Carlo propagation of sensors only, and full propagation including LST/emissivity/geolocation. Reproducibility: containerized analysis scripts, versioned data schema and a de‑identified exemplar dataset for end‑to‑end tests.</w:t>
      </w:r>
    </w:p>
    <w:p>
      <w:r>
        <w:t xml:space="preserve"> </w:t>
      </w:r>
    </w:p>
    <w:p>
      <w:pPr>
        <w:pStyle w:val="Heading2"/>
      </w:pPr>
      <w:r>
        <w:t>Risk Factors And Limitations</w:t>
      </w:r>
    </w:p>
    <w:p>
      <w:r>
        <w:t>Sensor drift and calibration failure leading to biased Tmrt estimates; black‑globe time constant and response lag making short pauses unreliable (may require multi‑minute averaging); insufficient spatial sampling (fewer than planned nodes) reducing power to detect ΔTmrt &lt;0.5°C; weather confounding when pre‑period is short or atypical meteorology occurs; staggered and temporary installations creating heterogeneous treatment timing that biases simple DiD; spatial spillovers/interference where shading on one street affects adjacent controls; drone radiometric limits (NETD/IFOV may not support 0.2 m radiometric accuracy at feasible flight heights); emissivity and albedo measurement errors degrading radiative fusion; data privacy risks for vendors/pedestrians limiting public release of fine‑grained spatial data; compute cost and time for large Monte‑Carlo ensembles and radiative runs; limited generalizability beyond hot, informal retail centres similar to the study city; social sampling bias (hard‑to‑reach vendors under‑represented) reducing validity of behavioural links; potential legal/permit delays for UAV and street installs affecting planned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