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spanish_wineries_resilience</w:t>
      </w:r>
    </w:p>
    <w:p>
      <w:r>
        <w:t xml:space="preserve"> </w:t>
      </w:r>
    </w:p>
    <w:p>
      <w:pPr>
        <w:pStyle w:val="Heading2"/>
      </w:pPr>
      <w:r>
        <w:t>Title</w:t>
      </w:r>
    </w:p>
    <w:p>
      <w:r>
        <w:t>Estimating how internal attributes shape Spanish wineries' resilience to economic, environmental and social shocks using survey data and ordinary least squares modeling</w:t>
      </w:r>
    </w:p>
    <w:p>
      <w:r>
        <w:t xml:space="preserve"> </w:t>
      </w:r>
    </w:p>
    <w:p>
      <w:pPr>
        <w:pStyle w:val="Heading2"/>
      </w:pPr>
      <w:r>
        <w:t>Short Hypothesis</w:t>
      </w:r>
    </w:p>
    <w:p>
      <w:r>
        <w:t>Wineries with higher internal resilience capacities (greater innovation and stronger rural commitment) experience smaller negative impacts on production and gross margin following economic, environmental, or social shocks than wineries with lower resilience capacities.</w:t>
      </w:r>
    </w:p>
    <w:p>
      <w:r>
        <w:t xml:space="preserve"> </w:t>
      </w:r>
    </w:p>
    <w:p>
      <w:pPr>
        <w:pStyle w:val="Heading2"/>
      </w:pPr>
      <w:r>
        <w:t>Related Work</w:t>
      </w:r>
    </w:p>
    <w:p>
      <w:r>
        <w:t>Existing work on winery and rural agro-industry resilience uses case studies, cross-sectional surveys, spatial analyses, and remote sensing proxies to document firm responses to shocks. Approaches vary: some measure outcomes under stress (production, price, quality), others map regional heterogeneity with spatial statistics, and a few model causal effects with panel regressions. Limitations remain: many studies rely on small non-representative samples, lack explicit pre-registered estimands or fixed-effect identification strategies, provide limited validation of remote-sensing yield or irrigation proxies, and rarely test measurement invariance when aggregating multiple survey items into a single ‘resilience’ index. Instrumental-variable strategies are proposed but often vulnerable to land-selection confounding. Spatial spillovers and compound shocks are frequently acknowledged but not pre-registered or systematically modeled. This project addresses these gaps by combining a medium-size survey sample with pre-specified OLS/IV estimands, measurement-validation, and spatial/event-study checks.</w:t>
      </w:r>
    </w:p>
    <w:p>
      <w:r>
        <w:t xml:space="preserve"> </w:t>
      </w:r>
    </w:p>
    <w:p>
      <w:pPr>
        <w:pStyle w:val="Heading2"/>
      </w:pPr>
      <w:r>
        <w:t>Abstract</w:t>
      </w:r>
    </w:p>
    <w:p>
      <w:r>
        <w:t>This study measures how internal firm attributes shape the resilience of Spanish wineries to economic, environmental, and social shocks. We construct latent indices of robustness, adaptability, and transformability from a 411-winery survey using confirmatory factor analysis (CFA). We then estimate how these indices moderate shock effects on production (tonnes/ha), gross margin per liter, and quality (Brix) using ordinary least squares (OLS) panel regressions with firm fixed effects and Shock×Resilience interaction terms. Shocks are defined with reproducible rules (meteorological thresholds, price drops, regulation dates) and validated with parcel-level remote sensing and meteorological data. Identification is strengthened with a pre-specified instrumental-variable (distance to historical irrigation infrastructure) and measurement-error corrections from a 30–50 winery validation subsample. Main contributions: (1) clear, pre-registered estimands and regression formulas; (2) validated resilience indices with measurement-invariance tests; (3) robustness to spatial dependence and IV sensitivity analyses. Expected outcome: reproducible estimates of how internal capacities reduce shock losses, informing targeted strategies and policy for rural agro-industries.</w:t>
      </w:r>
    </w:p>
    <w:p>
      <w:r>
        <w:t xml:space="preserve"> </w:t>
      </w:r>
    </w:p>
    <w:p>
      <w:pPr>
        <w:pStyle w:val="Heading2"/>
      </w:pPr>
      <w:r>
        <w:t>Experiments</w:t>
      </w:r>
    </w:p>
    <w:p>
      <w:r>
        <w:t>Datasets: (1) Main survey panel of 411 Spanish wineries with yearly outcomes (production, gross margin, Brix) and internal attributes (size, structure, innovation index, rural commitment). (2) Pilot validation subsample of 30–50 wineries / 30–50 parcels with harvest receipts and lab assays. (3) Remote sensing and climate layers: Sentinel-2 NDVI/EVI time series, Sentinel-1 backscatter, SPEI (1/3/6/12 months), ERA5-Land or AEMET meteorology, cadastral parcel boundaries, and Consejo Regulador records. Baselines: (A) OLS with firm and year fixed effects without interaction; (B) OLS with pre-specified Shock×Resilience interaction; (C) IV estimates instrumenting resilience index by distance_to_historical_canal; (D) spatial-lag or Spatial Durbin models. Regression equations to pre-register: Y_it = alpha_i + delta_t + beta1 Shock_it + beta2 Res_i + beta3 (Shock_it * Res_i) + gamma'X_it + epsilon_it, where alpha_i are firm fixed effects and delta_t are time fixed effects. IV first-stage: Res_i = pi0 + pi1 IV_i + pi2 X_i + u_i; second-stage follows standard 2SLS. Controls X include soil type, elevation, DO fixed effects, size class, business model, and baseline historical yields. Clustering: cluster standard errors at DO or municipio (level of shock/policy assignment). Event-study: monthly resolution with leads −3 to −2 (placebo) and lags up to +6 months (bins: −3, −2, −1, 0, +1, +2, +3–+6). Validation and measurement metrics: compute RMSE, bias, R^2 for RS yield proxies against receipts; require reporting of SIMEX/regression-calibration corrections. IV diagnostics: report first-stage F, partial R^2, Hansen J overid test, Anderson-Rubin and LIML when weak IVs suspected. Evaluation metrics: estimated beta3 coefficient (effect on standardized outcomes; report SD units), p-values and 95% CIs, model R^2, Cronbach alpha/omega and CFA factor loadings, RMSE and kappa for RS detection, first-stage F and partial R^2. Ablations and comparisons: (1) remove each resilience sub-index (robustness/adaptability/transformability) to test which component drives interaction; (2) compare OLS vs IV vs measurement-error-corrected estimates; (3) spatial vs non-spatial specifications; (4) alternative shock thresholds (e.g., heatwave defined by 35°C vs 95th percentile). Power and MDE reporting: publish Monte-Carlo code exploring ICC in [0.3,0.8], number of clusters, and shock prevalences; present detectable effect sizes at 80% power for planned strata.</w:t>
      </w:r>
    </w:p>
    <w:p>
      <w:r>
        <w:t xml:space="preserve"> </w:t>
      </w:r>
    </w:p>
    <w:p>
      <w:pPr>
        <w:pStyle w:val="Heading2"/>
      </w:pPr>
      <w:r>
        <w:t>Risk Factors And Limitations</w:t>
      </w:r>
    </w:p>
    <w:p>
      <w:r>
        <w:t>Endogeneity: resilience may be endogenous to unobserved firm traits correlated with outcomes; IV (distance to historical canals) may fail exclusion if land quality correlates with proximity. Instrument weakness: first-stage may be weak in some strata, reducing identification. Measurement error: survey self-reports, RS yield proxies, and lab sampling may contain error leading to attenuation bias; validation subsample may be too small to fully correct bias. Sample size and power: heterogeneity analyses by DO, size, or business model may be underpowered; MDEs depend on ICC and cluster counts. Spatial interference: spillovers between nearby parcels/firms may violate no-interference assumptions and complicate causal interpretation. Compound shocks: overlapping or sequential shocks may be hard to separate and may bias interaction estimates. Generalization: results from Spanish DOs may not generalize to other countries or crops. Data access and privacy: restricted data agreements (Consejo Regulador) may limit reproducibility; synthetic data may not fully represent edge cases. Computational limits: spatial and ABM analyses may need HPC for large ensembles; pilot resources may constrain full sensitivity runs.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