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fruit_voucher_rct_nigeria_vietnam</w:t>
      </w:r>
    </w:p>
    <w:p>
      <w:r>
        <w:t xml:space="preserve"> </w:t>
      </w:r>
    </w:p>
    <w:p>
      <w:pPr>
        <w:pStyle w:val="Heading2"/>
      </w:pPr>
      <w:r>
        <w:t>Title</w:t>
      </w:r>
    </w:p>
    <w:p>
      <w:r>
        <w:t>Cluster randomized trial of fruit vouchers to increase fruit affordability and consumption in peri-urban and urban Nigeria and Vietnam</w:t>
      </w:r>
    </w:p>
    <w:p>
      <w:r>
        <w:t xml:space="preserve"> </w:t>
      </w:r>
    </w:p>
    <w:p>
      <w:pPr>
        <w:pStyle w:val="Heading2"/>
      </w:pPr>
      <w:r>
        <w:t>Short Hypothesis</w:t>
      </w:r>
    </w:p>
    <w:p>
      <w:r>
        <w:t>Providing price-reducing fruit vouchers to households increases mean fruit servings per adult-equivalent per day relative to no vouchers.</w:t>
      </w:r>
    </w:p>
    <w:p>
      <w:r>
        <w:t xml:space="preserve"> </w:t>
      </w:r>
    </w:p>
    <w:p>
      <w:pPr>
        <w:pStyle w:val="Heading2"/>
      </w:pPr>
      <w:r>
        <w:t>Related Work</w:t>
      </w:r>
    </w:p>
    <w:p>
      <w:r>
        <w:t>Existing work on nutrition subsidies and cash transfers shows that lowering household food prices or giving money can change diets. Prior randomized trials of in-kind transfers, vouchers, or price subsidies often measure consumption with recalls and sometimes biomarkers. Limitations in prior approaches include weak monitoring of vendor redemption and fraud, limited attention to local market supply responses and spillovers, scarce use of biomarkers to validate dietary recall, insufficient pre-specification of statistical models and multiple-testing rules, and underpowered designs that do not account for seasonality or cluster-level correlation. Many studies also lack clear IV or per-protocol identification when take-up is partial, and they rarely combine vendor-level data with household consumption and market prices to measure welfare and price externalities.</w:t>
      </w:r>
    </w:p>
    <w:p>
      <w:r>
        <w:t xml:space="preserve"> </w:t>
      </w:r>
    </w:p>
    <w:p>
      <w:pPr>
        <w:pStyle w:val="Heading2"/>
      </w:pPr>
      <w:r>
        <w:t>Abstract</w:t>
      </w:r>
    </w:p>
    <w:p>
      <w:r>
        <w:t>We test whether vouchers that lower the effective price of fruit increase affordability and consumption in peri-urban and urban areas of Nigeria and Vietnam using a cluster randomized controlled trial. Clusters are randomized to receive vouchers or to control; voucher modalities (electronic vs paper, value vs unit tokens) and selected behavioral messages are piloted. The primary outcome is mean fruit servings per adult-equivalent per day (one serving = 80 g) measured by 24-hour recall. Secondary outcomes include fruit grams/day, household fruit spending share, dietary diversity, a fruit variety score, selected biomarkers (plasma vitamin C, hsCRP, HbA1c), vendor redemption logs, and market prices. Analyses report ITT effects with a pre-specified ANCOVA, cluster-robust inference, and hierarchical multiple-testing procedures. We also estimate LATE via IV using assignment as an instrument for redeemed subsidy. Expected contributions are clear causal evidence on price subsidies for fruit, validated intake measures via biomarkers, and operational rules for detecting fraud and supply-side responses.</w:t>
      </w:r>
    </w:p>
    <w:p>
      <w:r>
        <w:t xml:space="preserve"> </w:t>
      </w:r>
    </w:p>
    <w:p>
      <w:pPr>
        <w:pStyle w:val="Heading2"/>
      </w:pPr>
      <w:r>
        <w:t>Experiments</w:t>
      </w:r>
    </w:p>
    <w:p>
      <w:r>
        <w:t>Design: cluster randomized controlled trial (clusters = market catchments or communities). Randomization strata: country × urban/peri-urban × baseline cluster mean fruit intake tercile. Arms: (1) Control (no voucher), (2) Universal fruit voucher (value), (3) Voucher + behavioral message, (4) Voucher modality arm(s) in pilot (e-voucher vs paper; unit tokens vs value). Pilot: 4–6 week pilot in 2–3 clusters/country to select final modality using pre-registered drop rules (drop modality if redemption &lt;40% or fraud flags &gt;5%). Sample sizes: primary registry targets: Nigeria ≈30 clusters/arm, Vietnam ≈25 clusters/arm, ≈25 households/cluster. Biomarker subsample: randomized balanced sample 200–300 participants per country (spread across arms and strata). Data: household surveys with two non-consecutive 24-hr recalls (endline and baseline), household roster, wealth tercile, presence of child &lt;5, vendor redemption logs (voucher_id, vendor_id, hashed household_id, fruit_type, weight_grams, price, gps, photo), weekly market price series, and biomarker assays (plasma vitamin C primary). Primary estimation: ITT ANCOVA: Y_ic,end = α + β T_c + γ Y_ic,base + X_ic'θ + δ_s + u_c + ε_ic. Covariates X_ic: household size, baseline wealth tercile, urban/peri-urban, child &lt;5 indicator, baseline cluster market price. Inference: cluster-robust SEs (CR2 if clusters &lt;50); wild cluster bootstrap p-values when clusters per arm &lt;20. IV/per-protocol: instrument redeemed subsidy (cumulative redeemed value) with assignment; require first-stage F-stat &gt;10. Metrics: primary = mean fruit servings/adult-equivalent/day (1 serving=80 g). Secondary = fruit grams/day, household fruit spending share, MDD-W (minimum dietary diversity for women) and Fruit Variety Score, biomarkers (plasma vitamin C, hsCRP, HbA1c), vendor-level fraud rate, market prices, FIES food insecurity scale. Evaluation metrics: point estimates, 95% CIs, p-values, adjusted p-values per hierarchical testing (primary first; key secondaries sequential), Romano-Wolf stepdown and BH-FDR as sensitivity. Power simulations: Monte Carlo (≥1,000 draws) varying baseline means (Nigeria 0.9, Vietnam 1.2), SDs (1.2/1.0), ICCs (0.01–0.04), attrition (Nigeria 12%, Vietnam 8%), seasonality multipliers, and own-price elasticity (−0.7 to −0.4) to produce MDE tables. Ablations/comparisons: (A) voucher value vs unit-token; (B) e-voucher vs paper QR; (C) voucher only vs voucher+behavioral message; (D) supply-trigger enabled vs disabled (test if supply interventions change price pass-through). Pre-specified robustness: MI and IPW for missing data, Lee bounds, sensitivity to cluster ICC and seasonality, falsification tests (placebo outcomes), and Conley plausible-exclusion bounds for IV.</w:t>
      </w:r>
    </w:p>
    <w:p>
      <w:r>
        <w:t xml:space="preserve"> </w:t>
      </w:r>
    </w:p>
    <w:p>
      <w:pPr>
        <w:pStyle w:val="Heading2"/>
      </w:pPr>
      <w:r>
        <w:t>Risk Factors And Limitations</w:t>
      </w:r>
    </w:p>
    <w:p>
      <w:r>
        <w:t>1) Low take-up or low redemption reduces power and weakens IV first stage (first-stage F-stat &lt;10). 2) Differential attrition can bias ITT estimates if missingness is correlated with treatment and unobserved outcomes (attrition bias). 3) Measurement error in 24-hour recall (recall bias) and imperfect portion-size conversion can attenuate effects; biomarkers may be limited by assay noise. 4) Cold-chain or lab failures (sample degradation) can reduce biomarker validity; degraded samples may need exclusion. 5) Fraud or double-redemption by vendors or households can bias measured subsidy exposure and require audits; automated flags may have false positives. 6) Market supply responses or hoarding may create spillovers and externalities that complicate interpretation of household-level effects and generalizability. 7) High intracluster correlation (ICC) or stronger seasonality than assumed raises MDEs and may leave the study underpowered. 8) Limited external validity: peri-urban/urban findings may not generalize to rural or other country contexts. 9) Technical constraints: mobile-money coverage gaps can force paper fallback with higher reconciliation costs. 10) Ethical/logistical limits: low consent for blood draws reduces biomarker sample size and precision.</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