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circular_osh_ecosystem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Evaluating a circular-ecosystem design method for occupational safety and health interventions: a cross-national experimental study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Occupational safety and health (OSH) interventions developed using a circular-ecosystem design process achieve higher implementation effectiveness (composite score of fidelity, reach, feasibility, and equity) in pilot sites than interventions developed using standard, non-ecosystem design processes.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to OSH intervention design emphasize single-site trials, discrete implementation actions, or isolated technical fixes. Recent work has proposed improved data harmonization, privacy-aware analytics (federated learning, privacy-preserving record linkage), agent-based models (ABM) and social network analysis (SNA) for simulation, and stronger governance practices. Limitations: (1) Many methods treat interventions as isolated events and do not model multi-actor, cross-phase dynamics (design → implementation → evaluation → follow-up). (2) Cross-national harmonization is weak: variable mappings and measurement error are often unquantified. (3) Privacy and disclosure risk are often handled heuristically (fixed small-cell rules) rather than with formal risk metrics or differential privacy (DP) utility analyses. (4) Model validation and external calibration (ABM/SNA/Bayesian) are inconsistent, limiting policy-ready claims. (5) Equity metrics are inconsistently operationalized, making subgroup inference and reporting unsafe or non-comparable.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test whether a circular-ecosystem design method improves the implementation effectiveness of occupational safety and health (OSH) interventions across national contexts. The circular-ecosystem method reconceptualizes interventions as iterative processes across phases (design, implementation, evaluation, follow-up) and five ecosystem elements: value, actors, data/materials/flows, circular activities/strategies, and governance. We compare interventions produced by teams using this method against interventions produced by teams using standard design procedures in matched pilot sites across multiple countries. Main contributions: (1) an operationalized circular-ecosystem protocol linking qualitative mechanisms to ABM/SNA parameters; (2) measurable governance, privacy (DP scenario curves), and federated-analysis rules; and (3) validated decision rules using a composite implementation-effectiveness score (fidelity, reach, feasibility, equity). Expected outcome: empirical evidence on whether system-aware, multi-actor design yields higher implementation effectiveness and more robust, equitable outcomes than conventional design approaches, plus public decision artifacts (codebook, ABM templates, privacy risk summaries) to guide scale-up.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national worker registries (where available), compensation claims, labor force surveys, inspection logs, employer rosters, sentinel sector surveys, and qualitative interviews/focus groups. Select 6 countries representing registry-rich (2), registry-partial (2), registry-scarce (2). Within each country identify 8 matched pilot sites (total 48 sites) stratified by sector and firm size. Randomize design teams at the site cluster level: 24 sites receive interventions designed with the circular-ecosystem method (treatment), 24 sites receive standard design (control). Baselines: (A) standard checklist-based intervention design (single-actor focus); (B) ABM-uninformed design (ablation). Evaluation metrics: primary = composite implementation-effectiveness score computed as weighted sum: fidelity (0–1, percentage adherence), reach (0–1), feasibility (0–1), equity impact (0–1); quantitative go threshold ≥0.7. Secondary = fidelity subcomponents, Slope Index of Inequality (SII), Concentration Index, RMSE and calibration slope for ABM outputs, 95% predictive interval coverage, PPRL precision &amp; recall (target ≥0.95/≥0.90), and DP utility loss curves for aggregates at ε = 0.5, 1.0, 1.5. Experimental setup: Phase 0 (weeks 0–8) — governance charter, harmonization codebook, ABM/SNA parameter seeding from qualitative CMO matrices. Phase 1 (weeks 8–20) — design stage: teams produce intervention packages; ABM scenarios run for treatment arm using circular inputs. Phase 2 (weeks 20–44) — 6-month implementation pilots per site with process monitoring. Phase 3 (weeks 44–52) — evaluation, pooled and federated analyses. Statistical analysis: compare mean composite scores between arms using hierarchical generalized linear mixed models (GLMM) with site nested within country; report marginal (population-averaged) and conditional (cluster-specific) estimands to address non-collapsibility. Adjust for pre-specified covariates from DAGs. Ablations: (i) remove ABM-informed parameters from treatment designs and compare outcomes; (ii) federated GLMM vs pooled secure-enclave GLMM vs meta-analysis when pooled infeasible. Privacy experiments: for published aggregates compute DP utility-loss curves across ε values and report re-identification risk metrics (k-anonymity, re-id probability) per release cadence. Validation studies: reserve 20% of sites (one country) for external holdout calibration of ABM / predictive models.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ABM or federated GLMM may not converge under high site heterogeneity; non-collapsibility can make marginal vs conditional estimates differ. Data biases: registry incompleteness, underreporting (especially among informal/migrant workers), and systematic misclassification will bias estimates. Privacy constraints: strict DUAs or legal barriers may prevent pooled analyses; DP at small ε may reduce utility for subgroup reporting. Validation limits: external validation requires holdout sites; results may not generalize beyond sampled countries/sectors. Sample size limits: small sites with low events may preclude reliable federated estimates (few events-per-parameter), forcing meta-analysis or sentinel-only inference. Equity reporting limits: some vulnerable subgroups may be too small for safe public disclosure even after synthetic-data methods. Operational constraints: cross-jurisdictional legal approvals and DUA timelines can delay pilots. Compute and scalability: ABM calibration and global sensitivity analyses are compute-intensive and may limit timely iteration. Measurement-error correction: regression calibration or SIMEX require sufficient validation subsamples; insufficient validation data will limit bias correction options.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