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ai_women_tourism_inclusivity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the effect of a responsible AI booking assistant on direct bookings for women entrepreneurs in tourism using a cluster randomized trial and qualitative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a privacy-preserving, community-governed AI booking assistant causes a ≥20% increase in monthly direct bookings per women-led tourism enterprise over six months compared to no-AI control.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Work on AI for small businesses and marketplace platforms shows gains in visibility and demand management but often focuses on aggregate economic outcomes without intersectional analysis. Privacy-preserving techniques such as differential privacy (DP — adding controlled noise to outputs to limit individual data disclosure) and federated learning (FL — training models across devices without centralizing raw data) have been applied in production but rarely validated in field trials with vulnerable groups. Fairness-aware machine learning methods (group parity checks, calibration fixes) exist but are typically evaluated on administrative datasets rather than community-driven pilots. Human-centered design and participatory governance approaches improve trust and uptake, yet prior studies seldom combine technical privacy mechanisms, formal harm-monitoring, and randomized evaluation. Limitations across prior work include: weak grounding in local attacker/legal models to choose DP parameters, insufficient power for intersectional subgroups, lack of operational governance and rapid-response protocols, and few causal field experiments focused on women entrepreneurs in tourism.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 responsibly designed AI booking assistant can increase direct bookings for women-led tourism enterprises while protecting privacy and minimizing harms. We combine a cluster randomized trial across three pilot typologies (urban heritage vendors, rural homestays, peri-urban artisan hubs) with qualitative interviews and focus groups. The AI intervention integrates privacy-preserving training options, layered consent, and community governance. Primary contribution: an end-to-end empirical evaluation linking an operational AI product to economic and social outcomes for women entrepreneurs, with pre-specified fairness, privacy, and harm-monitoring metrics. Expected outcome: rigorous, causal evidence on effectiveness and trade-offs (utility vs privacy), quantified detection limits for intersectional groups, and operational artefacts (power simulations, DP decision rules, harm thresholds) for reproducible, ethically governed AI deployments in low-resource settings.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cluster randomized controlled trial (cluster = market association / settlement / association list) with embedded feature-level ablations in treated clusters. Pilot typologies and target sample sizes (per pilot): urban heritage district — target 25 clusters per arm × 10 enterprises per cluster (target clusters/arm = 25; enterprises/arm = 250); rural homestay cluster — target 25 clusters per arm × 8 enterprises/cluster (enterprises/arm = 200); peri-urban artisan hub — target 20 clusters per arm × 12 enterprises/cluster (enterprises/arm = 240). Minimum acceptable clusters per arm = 15; if &lt;20 use randomization inference and permutation tests for robust inference. Total planned enterprises (all pilots combined): target ≈1,140 per arm across pilots; pooling allowed with hierarchical partial pooling if justified. Randomization: stratify by site and subsector; within treated clusters randomly assign feature ablations (nested randomization) for: (A) DP levels (ε values: 1, 2, 8) where ε = privacy budget (smaller ε = stronger privacy), (B) training mode (FL asynchronous vs centralized DP training), (C) governance condition (community advisory active vs advisory consult-only). Qualitative: per pilot 20–30 in-depth interviews, 4–6 women-only focus groups (6–8 participants), 8–12 key informant interviews, 10–15 observation sessions, and participatory methods (photovoice, mapping). Data sources: platform booking logs (direct and intermediary), enterprise revenue receipts, OTA listings, baseline and endline surveys, 24-hour time-use + 7-day module, anonymous incident reports, and annotated qualitative transcripts. Baselines and controls: (1) no-AI control (status quo), (2) treated with AI full stack (privacy + governance), (3) within-treated ablations as above. Primary outcomes: monthly direct bookings per enterprise and monthly revenue. Secondary outcomes: proportion direct vs intermediary bookings, booking lead time, repeat-customer share, business survival at 12 months, unpaid care hours/week (time-use), incidence and severity of surveillance/safety events, market share and concentration (Herfindahl index). Fairness metrics: disparate impact ratio (group booking rate ratio; screening threshold 0.8), equal opportunity defined as false-negative gap in safety/visibility flags (&lt;5–10 percentage points), calibration difference across key slices. Privacy evaluation: report epsilon (ε) used, produce utility-loss curves (validation metric vs ε and clipping), and empirical disclosure-risk examples. Statistical analysis: primary analysis ITT (intention to treat) using negative-binomial GLMM (log link) for counts (explain: negative-binomial models handle overdispersed counts where variance &gt; mean) with cluster random intercepts; if many zeros use zero-inflated negative-binomial (ZINB) with separate zero model. Adjust for baseline covariates and seasonality; for small cluster counts complement with permutation/randomization inference. Intersectional inference: pre-register up to six confirmatory slices (age band, migration, disability, caregiving burden, subsector, baseline digital access); use hierarchical Bayesian partial pooling (explain: partial pooling borrows strength across groups to stabilize estimates) for subgroup estimates and report posterior uncertainty; require minimum cell size 20–30 for exploratory reporting and 30+ for confirmatory claims. Power and simulations: deliver Monte Carlo simulation scripts (R/stan/brms) sweeping ICC (intra-cluster correlation) values {0.01,0.02,0.05}, baseline means (8–12 bookings/month), dispersion, and treatment effect sizes; report detectable absolute and relative MDEs for pooled and per-slice analyses. Ablations: (i) DP ε sweep (1 vs 2 vs 8) measuring booking/revenue utility loss and fairness metrics, (ii) FL vs centralized DP training comparing model performance and participation health metrics (per-round participation %, latency), (iii) governance vs advisory-only comparing uptake, trust scores, and harm incidence. Annotation QC: pilot annotation ≥300 items stratified by label prevalence, dual-code 20–30% randomly, target Cohen’s kappa ≥0.7 (≥0.6 for trauma-sensitive labels); codebook versioning and adjudication logs required. Pre-registration: upload confirmatory analysis plan, primary endpoints, multiplicity rules (Holm for co-primary, Benjamini-Hochberg for exploratory), and analysis scripts to a public registry prior to unblinding.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Algorithmic harms: models may re-rank visibility or pricing leading to market displacement or price undercutting (risk: increased competition harms smaller vendors). Privacy-utility trade-off: stronger DP (smaller ε) reduces disclosure risk but can degrade model utility and reduce measured treatment effects. FL fragility: federated setups can fail under low participation, high latency, or adversarial updates; participation thresholds may force fallback to centralized training. Power and intersectional limits: many intersectional slices will be underpowered to detect small effects; partial pooling reduces variance but can shrink true heterogeneity toward the mean. Selection and uptake bias: adoption may be endogenous (more digitally-active entrepreneurs adopt), producing biased estimates unless randomized encouragement or complier analysis is used. Differential attrition: groups may drop out unequally, biasing longitudinal estimates. Legal and jurisdictional constraints: DP and data retention rules must align with local laws; cross-jurisdiction deployments complicate compliance. Measurement errors: off-platform revenue is hard to verify and may be misreported; time-use recall has recall bias. Coder welfare and annotation bias: trauma-sensitive transcripts pose mental-health risks to coders and may produce labeling inconsistencies. Generalization limits: results from three pilot typologies may not generalize to other countries, tourism subsectors, or larger platforms. Computational and operational limits: DP training and secure aggregation increase compute and latency; edge devices or low-bandwidth sites may not support FL or complex models.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