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gender_norms_eldercare_thailand</w:t>
      </w:r>
    </w:p>
    <w:p>
      <w:r>
        <w:t xml:space="preserve"> </w:t>
      </w:r>
    </w:p>
    <w:p>
      <w:pPr>
        <w:pStyle w:val="Heading2"/>
      </w:pPr>
      <w:r>
        <w:t>Title</w:t>
      </w:r>
    </w:p>
    <w:p>
      <w:r>
        <w:t>Multilevel latent‑variable and quasi‑experimental analysis of community gender norms on unpaid elderly caregiving in Thailand</w:t>
      </w:r>
    </w:p>
    <w:p>
      <w:r>
        <w:t xml:space="preserve"> </w:t>
      </w:r>
    </w:p>
    <w:p>
      <w:pPr>
        <w:pStyle w:val="Heading2"/>
      </w:pPr>
      <w:r>
        <w:t>Short Hypothesis</w:t>
      </w:r>
    </w:p>
    <w:p>
      <w:r>
        <w:t>Stronger community injunctive norms that prescribe daughters as primary caregivers causally increase weekly unpaid caregiving hours provided by women relative to men.</w:t>
      </w:r>
    </w:p>
    <w:p>
      <w:r>
        <w:t xml:space="preserve"> </w:t>
      </w:r>
    </w:p>
    <w:p>
      <w:pPr>
        <w:pStyle w:val="Heading2"/>
      </w:pPr>
      <w:r>
        <w:t>Related Work</w:t>
      </w:r>
    </w:p>
    <w:p>
      <w:r>
        <w:t>Existing studies document that women deliver most unpaid eldercare and attribute this pattern to gendered social norms. Prior approaches rely mainly on cross‑sectional survey correlations, basic aggregation of perceived norms, small qualitative samples, or single‑site vignette experiments. These methods have limitations: (1) they often treat measured norms as error‑free and ignore measurement uncertainty; (2) aggregation rules vary and rarely test within‑cluster agreement (rwg) or intraclass correlation (ICC); (3) causal identification is weak — many studies lack longitudinal data, staggered rollouts, valid instruments, or modern difference‑in‑differences estimators; (4) social‑desirability bias and poor psychometric validation reduce validity; and (5) intersectional and small‑cell inference (e.g., transgender/non‑binary groups) are underpowered or not addressed. There is a gap for a study that jointly: (a) estimates latent community norms with multilevel measurement models that account for item error, and (b) uses randomized vignettes, list experiments, staggered policy rollouts and IV/DiD methods to identify causal effects on caregiving.</w:t>
      </w:r>
    </w:p>
    <w:p>
      <w:r>
        <w:t xml:space="preserve"> </w:t>
      </w:r>
    </w:p>
    <w:p>
      <w:pPr>
        <w:pStyle w:val="Heading2"/>
      </w:pPr>
      <w:r>
        <w:t>Abstract</w:t>
      </w:r>
    </w:p>
    <w:p>
      <w:r>
        <w:t>This study estimates whether community gender norms about altruistic caregiving causally affect unpaid care provision to elderly people in Thailand. We combine a multilevel latent measurement model (which treats community norms as a latent variable and accounts for item measurement error) with mixed methods: a nationally sampled clustered household survey, vignette randomized controlled trials, list experiments for sensitive norm items, qualitative interviews, and quasi‑experimental designs (staggered policy rollouts and candidate instruments). The main contribution is a transparent pipeline that (a) produces posterior distributions of community injunctive norms, (b) propagates norm measurement uncertainty into a pre‑registered gender × norm interaction estimand using multilevel mixed models, and (c) triangulates causal claims with randomized and natural‑experiment evidence. Expected outcomes are precise estimates of how community norms modify gender gaps in weekly unpaid caregiving hours, caregiver mental health, and formal care uptake. Results will inform policy choices about community interventions, respite services, and gender‑sensitive supports for caregivers.</w:t>
      </w:r>
    </w:p>
    <w:p>
      <w:r>
        <w:t xml:space="preserve"> </w:t>
      </w:r>
    </w:p>
    <w:p>
      <w:pPr>
        <w:pStyle w:val="Heading2"/>
      </w:pPr>
      <w:r>
        <w:t>Experiments</w:t>
      </w:r>
    </w:p>
    <w:p>
      <w:r>
        <w:t>Dataset: primary clustered household survey in Thailand with 100–120 PSUs (village/TAO clusters) and ~18–20 eligible households per PSU (target N ≈ 1,800–2,400); pilot n≈100 and cognitive interviews n≈20. Linked data: administrative rollout timing of community eldercare programs from MSDHS/provinces, and NGO pilot records. Qualitative data: 40–60 in‑depth interviews and 6–8 focus groups linked to survey IDs. Baselines: (A) model without norms (covariates only), (B) individual perceived‑norm measure, (C) empirical‑Bayes aggregated norm score. Primary treatment variable: multilevel latent injunctive‑norm score (ML‑CFA/ML‑SEM posterior mean); technical note: ML‑CFA is a multilevel confirmatory factor analysis that estimates a latent factor at community and individual levels and models item error. Primary estimator: multilevel linear mixed model for weekly caregiver hours with random intercepts at PSU and coefficient β3 for Female × Norm interaction; compute cluster‑robust SEs and use wild‑cluster bootstrap if clusters &lt; 120. Secondary estimators: logistic mixed models for formal care uptake; DiD/event‑study estimators for staggered rollouts using Callaway &amp; Sant’Anna and Sun &amp; Abraham methods (these adjust for variation in treatment timing); IV two‑stage models with pre‑registered instruments (e.g., distance to new center; historical female LFP) and first‑stage F&gt;10 diagnostic. Experiments: (1) vignette RCTs (randomize protagonist gender and normative cue) measuring stated willingness and perceived sanction; (2) list experiments for sensitive injunctive items estimating truthful endorsement. Evaluation metrics: estimated β3 effect size (hours/week) with 95% CI, standardized effect (SD units), p‑values adjusted for multiple testing (hierarchical gatekeeping and FDR), MDEs and achieved power tables, first‑stage F statistics, rwg(J) and ICC(1) for aggregation, CFA fit indices (RMSEA, CFI, SRMR). Ablation studies: compare results using (i) ML‑CFA latent norms with measurement‑error propagation, (ii) empirical‑Bayes aggregated norms, and (iii) individual perceived norms; and compare inference with vs without propagating norm uncertainty. Additional analyses: mediation tests (Imai causal mediation method) for pathways through caregiver identity and anticipated sanctions, and subgroup analyses by urban/rural, education, recipient severity, and gender‑diverse categories using partial‑pooling/Bayesian models for small cells.</w:t>
      </w:r>
    </w:p>
    <w:p>
      <w:r>
        <w:t xml:space="preserve"> </w:t>
      </w:r>
    </w:p>
    <w:p>
      <w:pPr>
        <w:pStyle w:val="Heading2"/>
      </w:pPr>
      <w:r>
        <w:t>Risk Factors And Limitations</w:t>
      </w:r>
    </w:p>
    <w:p>
      <w:r>
        <w:t>Norm endogeneity: community norms may be shaped by local caregiving patterns, causing reverse causation. Measurement error: low within‑cluster agreement (rwg) or low ICC would weaken the validity of aggregated community measures. Social‑desirability bias: respondents may misreport normative beliefs or care hours despite list experiments and vignettes. IV and quasi‑experimental validity: candidate instruments (distance, historical rates) may violate exclusion restrictions or have weak first stages. Staggered rollout limitations: insufficient timing variation or correlated rollouts across clusters reduce DiD power. Small cells and intersectionality: transgender and non‑binary groups may have very small sample sizes, limiting inference. Attrition and missing data: follow‑up loss may bias longitudinal estimates. Generalizability: results may not transfer beyond sampled provinces or cultural contexts. Resource constraints: budget shortfalls could reduce cluster counts or follow‑up, lowering power. Ethical risks: sensitive questions and norm interventions could provoke community backlash or distress.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