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trade_agreements_sustainable_fisheries</w:t>
      </w:r>
    </w:p>
    <w:p>
      <w:r>
        <w:t xml:space="preserve"> </w:t>
      </w:r>
    </w:p>
    <w:p>
      <w:pPr>
        <w:pStyle w:val="Heading2"/>
      </w:pPr>
      <w:r>
        <w:t>Title</w:t>
      </w:r>
    </w:p>
    <w:p>
      <w:r>
        <w:t>Difference-in-differences with propensity-score matching to estimate the effect of trade agreements and fisheries provisions on mean trophic level in marine fisheries</w:t>
      </w:r>
    </w:p>
    <w:p>
      <w:r>
        <w:t xml:space="preserve"> </w:t>
      </w:r>
    </w:p>
    <w:p>
      <w:pPr>
        <w:pStyle w:val="Heading2"/>
      </w:pPr>
      <w:r>
        <w:t>Short Hypothesis</w:t>
      </w:r>
    </w:p>
    <w:p>
      <w:r>
        <w:t>Signing a free trade agreement that includes fisheries-related provisions causes a statistically significant decrease in mean trophic level (MTL) of marine fisheries in the signatory EEZ(s) relative to comparable non-signatory EEZ(s).</w:t>
      </w:r>
    </w:p>
    <w:p>
      <w:r>
        <w:t xml:space="preserve"> </w:t>
      </w:r>
    </w:p>
    <w:p>
      <w:pPr>
        <w:pStyle w:val="Heading2"/>
      </w:pPr>
      <w:r>
        <w:t>Related Work</w:t>
      </w:r>
    </w:p>
    <w:p>
      <w:r>
        <w:t>Existing work uses trade and environmental indicators to test whether trade openness or specific policies change resource use. Studies using mean trophic level (MTL, the average position of catches in the food chain) summarize ecosystem-level change but are often descriptive or correlational. Impact-evaluation work on trade policies commonly applies difference-in-differences (DID) and propensity score matching (PSM; a method that pairs treated and control units with similar covariates) but faces endogeneity when treaty timing is endogenous and when treated units are few. Other efforts focus on vessel tracking (AIS/VMS) and remote sensing to measure fishing effort, yet they often lack validated labels for non-AIS or transshipment events (the “dark fleet”) and do not propagate measurement error into causal estimates. Limitations across prior approaches include (1) inadequate handling of treaty endogeneity and staggered adoption bias, (2) measurement error from imperfect HS code to species mapping, (3) incomplete validation of SAR/AIS classification leading to biased effort measures, and (4) weak small-sample inference protocols when treated counts are low.</w:t>
      </w:r>
    </w:p>
    <w:p>
      <w:r>
        <w:t xml:space="preserve"> </w:t>
      </w:r>
    </w:p>
    <w:p>
      <w:pPr>
        <w:pStyle w:val="Heading2"/>
      </w:pPr>
      <w:r>
        <w:t>Abstract</w:t>
      </w:r>
    </w:p>
    <w:p>
      <w:r>
        <w:t>We study whether signing free trade agreements (FTAs) with fisheries-related provisions changes marine fisheries sustainability, measured by mean trophic level (MTL), using global MTL time series (1950–2018) and a coded dataset of environmental provisions in trade agreements (1947–2018). We estimate causal effects with a difference-in-differences (DID) design combined with propensity-score matching (PSM) to balance pre-treatment covariates and reduce selection bias. We correct for measurement errors that arise from mapping trade HS codes to taxa and from imperfect SAR/AIS vessel classification using multiple imputation (MI) and SIMEX (a simulation-extrapolation method for measurement error). We pre-specify event-study windows, clustering rules, and permutation-based inference for small treated-sample settings. Main contributions are (1) an integrated DID+PSM pipeline that propagates HS and spatial measurement uncertainty into inference, (2) validated thresholds and sample targets for HS mapping and SAR–AIS classification, and (3) sensitivity and power grids that link intra-cluster correlation and cluster sizes to minimum detectable effects. Expected outcome: reproducible, uncertainty-aware estimates of treaty impacts on MTL and clear guidance on when vessel-level claims are credible.</w:t>
      </w:r>
    </w:p>
    <w:p>
      <w:r>
        <w:t xml:space="preserve"> </w:t>
      </w:r>
    </w:p>
    <w:p>
      <w:pPr>
        <w:pStyle w:val="Heading2"/>
      </w:pPr>
      <w:r>
        <w:t>Experiments</w:t>
      </w:r>
    </w:p>
    <w:p>
      <w:r>
        <w:t>Datasets: (1) Global mean trophic level time series by EEZ and year (1950–2018); (2) coded trade-agreement dataset with fisheries-related provisions and signing dates (1947–2018); (3) UN Comtrade HS-level export flows and partner data; (4) AIS/VMS tracks and processed effort layers; (5) SAR archives and labeled SAR–AIS paired detections; (6) customs manifests, port landing slips, EM/observer logs and DNA barcodes for HS→taxon ground truth. Preprocessing: build panel units at EEZ-year for MTL/trade outcomes and vessel-month for effort outcomes where validated vessel labels exist. Treatment: indicator = FTA signature year for FTAs with fisheries provisions; staggered adoption notation retained. Matching: estimate propensity scores with logistic regression using pre-treatment covariates (baseline MTL, export dependence, governance score, fleet composition, GDP, sea-surface temperature anomalies); implement nearest-neighbor PSM with caliper 0.2 SD and exact matching on region in main specification. Main estimator: Callaway &amp; Sant’Anna staggered DID estimator with unit and time fixed effects and event-study plots over window [-5,+5] years; cluster standard errors at EEZ level and use wild cluster bootstrap for small cluster counts. Measurement-error correction: perform multiple imputation (MI) for HS→taxon mapping and SAR–AIS linkage with M=100 imputations; for each imputation run SIMEX (simulation-extrapolation) to correct bias from measurement error, then pool point estimates and variances using Rubin’s rules; apply Meng–Rubin adjustment for small-sample inference across imputations. Baselines and ablations: (A) naive DID without PSM nor measurement correction; (B) DID+PSM without MI+SIMEX; (C) DID+PSM with deterministic HS mapping; (D) full pipeline DID+PSM+MI+SIMEX (primary); (E) synthetic control for single-treated EEZ cases. Evaluation metrics: estimated average treatment effect on MTL (ATE) with 95% CI, event-study lead/lag coefficients and pre-trend p-values, root mean squared error (RMSE) and bias in simulation, coverage rate of 95% CI, permutation p-values for small-k inference, and confusion-matrix metrics (PPV, NPV, sensitivity, specificity) for HS mapping and SAR–AIS classification. Simulation experiments: simulate panels with ICC in {0.01,0.05,0.10}, cluster sizes 50–200, and measurement-error scenarios (PPV 0.6,0.8,0.95; SAR false-negative rates 0.1–0.5) to compute minimal detectable effects (MDEs) and power curves. Reporting: present main estimates, heterogeneity by governance and export dependence, ablation comparisons of bias/RMSE/coverage, and simulation MDE tables.</w:t>
      </w:r>
    </w:p>
    <w:p>
      <w:r>
        <w:t xml:space="preserve"> </w:t>
      </w:r>
    </w:p>
    <w:p>
      <w:pPr>
        <w:pStyle w:val="Heading2"/>
      </w:pPr>
      <w:r>
        <w:t>Risk Factors And Limitations</w:t>
      </w:r>
    </w:p>
    <w:p>
      <w:r>
        <w:t>Data availability: delayed or denied MOUs for VMS, SAR, and customs manifests will restrict vessel-level inference. HS→taxon misclassification: systematic mislabeling can bias effects if misclassification correlates with treatment. SAR–AIS detection limits: high false-negative rates for non-AIS vessels (dark fleet) reduce usable labeled events and can bias effort estimates. Endogeneity: treaty signing may be endogenous to unobserved shocks to fisheries or reporting, challenging identification even with DID+PSM. Few treated units: small number of signatory EEZs with fisheries provisions may require synthetic control and permutation inference with low power. Measurement propagation complexity: incorrect ordering of MI and SIMEX or improper variance pooling can understate uncertainty. Sampling bias in ground truth: customs or port samples may be non-random and not representative. Generalization: results from sentinel or well-documented EEZs may not generalize to poorly monitored regions. Computational and time limits: MI with M=100 and per-imputation SIMEX is computationally heavy and may slow iterative analysis. Legal/data governance constraints: privacy rules or partner restrictions may limit public reproducibility.</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