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quantify_modularity_data_issues</w:t>
      </w:r>
    </w:p>
    <w:p>
      <w:r>
        <w:t xml:space="preserve"> </w:t>
      </w:r>
    </w:p>
    <w:p>
      <w:pPr>
        <w:pStyle w:val="Heading2"/>
      </w:pPr>
      <w:r>
        <w:t>Title</w:t>
      </w:r>
    </w:p>
    <w:p>
      <w:r>
        <w:t>Data-quality-driven causal quantification of modularity effects in modular product families using calibrated composite metrics and simulation-augmented inference</w:t>
      </w:r>
    </w:p>
    <w:p>
      <w:r>
        <w:t xml:space="preserve"> </w:t>
      </w:r>
    </w:p>
    <w:p>
      <w:pPr>
        <w:pStyle w:val="Heading2"/>
      </w:pPr>
      <w:r>
        <w:t>Short Hypothesis</w:t>
      </w:r>
    </w:p>
    <w:p>
      <w:r>
        <w:t>Improving data quality and structured data management for industrial product-family records (reducing missingness and measurement error) causes at least a 0.10 increase in out-of-sample R-squared when calibrated composite modularity metrics (MSI, MFII, PMS) are used to predict cost, time-to-market, or defect rates.</w:t>
      </w:r>
    </w:p>
    <w:p>
      <w:r>
        <w:t xml:space="preserve"> </w:t>
      </w:r>
    </w:p>
    <w:p>
      <w:pPr>
        <w:pStyle w:val="Heading2"/>
      </w:pPr>
      <w:r>
        <w:t>Related Work</w:t>
      </w:r>
    </w:p>
    <w:p>
      <w:r>
        <w:t>Current work uses three main approaches: (1) graph and community-detection based modularity metrics (e.g., graph modularity Q and cohesion/coupling measures) to summarize architecture structure; (2) function-to-module alignment measures (mutual information style scores) to quantify encapsulation and information leakage; and (3) simulation or agent-based models to explore how modular design affects lead time, reuse, and defects. Methodological extensions include learning predictive weights for composite indices (elastic-net) and using limited measurement-error corrections (SIMEX) or instruments for causal claims. Limitations across these approaches are consistent: they rely on ad-hoc normalization and imputation rules, lack standard reliability testing and annotation scale, seldom pre-register identification strategies, often ignore endogeneity from managerial/accounting practices, and typically validate only on small or synthetic datasets. Instrument choices are rarely grounded in operational shocks, and simulation studies are expensive and not always linked to empirical calibration. Overall, prior work produces suggestive but not reproducible causal estimates due to data-quality, identification, and governance gaps.</w:t>
      </w:r>
    </w:p>
    <w:p>
      <w:r>
        <w:t xml:space="preserve"> </w:t>
      </w:r>
    </w:p>
    <w:p>
      <w:pPr>
        <w:pStyle w:val="Heading2"/>
      </w:pPr>
      <w:r>
        <w:t>Abstract</w:t>
      </w:r>
    </w:p>
    <w:p>
      <w:r>
        <w:t>Quantifying how modularity affects product-family outcomes (cost, time-to-market, defect rates) remains unreliable because industrial data are often incomplete, inconsistent, and poorly governed. We propose a focused research program that tests whether improving data quality and structured data management makes modularity effects measurable and causally identifiable. We combine: (A) calibrated composite modularity indices (MSI, MFII, PMS) with pre-registered elastic-net plus causal-regularization losses; (B) measurement-error corrections (SIMEX and errors-in-variables models) and instrument-based identification using operational shocks; and (C) an ABM/DES (agent-based/discrete-event simulation) pipeline with ABC (approximate Bayesian computation) and Gaussian-process emulation to generate calibrated synthetic benchmarks. The main contribution is an end-to-end, reproducible protocol linking data curation, causal identification, and simulation calibration to produce robust, transportable estimates of modularity effects. Expected outcome: clear, testable evidence on when and how modularity metrics explain variance in industrial outcomes and concrete deliverables (pre-analysis repo, data schema, simulation scripts) that improve reproducibility.</w:t>
      </w:r>
    </w:p>
    <w:p>
      <w:r>
        <w:t xml:space="preserve"> </w:t>
      </w:r>
    </w:p>
    <w:p>
      <w:pPr>
        <w:pStyle w:val="Heading2"/>
      </w:pPr>
      <w:r>
        <w:t>Experiments</w:t>
      </w:r>
    </w:p>
    <w:p>
      <w:r>
        <w:t>Datasets: (1) Empirical panels for 3–5 pilot product families from different domains (automotive, electronics, software) with longitudinal records: DSM adjacency matrices, function-to-component maps, ECO/BOM change logs, supplier logs, assembly/test KPIs. (2) ABM/DES synthetic datasets calibrated to each pilot via ABC and GP emulators. (3) Public open benchmarks if available. Baselines: (A) equal-weight composite metrics (equal weights for MSI components), (B) predictive-only elastic-net weights (no orthogonalization), (C) no measurement-error correction, (D) simulation-only validation (no empirical calibration). Composite metric computation: use pre-specified M1–M4 base metrics normalized to [0,1]; orthogonalization: residualize base metrics on confounders before outcome regression; weight calibration: elastic-net with product-family out-of-sample folds; causal regularization: TMLE or control-function augmentation with IVs when available. Evaluation metrics: out-of-sample R-squared, RMSE, bias of estimated treatment effects (difference from simulation truth where available), 95% CI coverage, first-stage F-statistic for IVs, ICC(2,k) inter-annotator reliability, and computational cost (CPU-hours, storage). Experimental setup: (1) Pre-register cohort and treatment windows and model specs in a git repo. (2) Run DGP recovery experiments with 1,000 replications per cell varying confounding partial R2 ∈ {0,0.1,0.25,0.5}, measurement-error ratio σe/σsignal ∈ {0.1,0.3,0.5}, cluster counts ∈ {10,30,100}, and time periods ∈ {6,12,24}. (3) Empirical pipeline: apply data curation, compute base metrics with dual annotations, enforce ICC≥0.75; impute missingness (domain median or MAR-EM) and flag imputed records. (4) Calibrate elastic-net weights on training folds; run orthogonalized causal regressions and, where possible, IV estimates using pre-identified operational shocks (e.g., interface standard adoption dates). (5) Apply SIMEX/EIV corrections; compare with uncorrected models. (6) Use ABM/DES to generate synthetic counterfactuals and to test weight-recovery under known truth. Ablations: remove data-quality steps (no MAR-EM, no dual annotation), skip SIMEX/EIV, use single community-detection algorithm versus ensemble, and omit IVs. Power and sample guidance: report minimum detectable effect for target increase of 0.10 R-squared under plausible ICCs and cluster counts; when empirical clusters &lt;20 use permutation inference and Bayesian hierarchical pooling. Computational design: baseline ABM budget 50k simulator runs with GP emulator trained on 1k–2k design points; report actual CPU-hours and provide low-cost emulator fallback (1k runs) in results.</w:t>
      </w:r>
    </w:p>
    <w:p>
      <w:r>
        <w:t xml:space="preserve"> </w:t>
      </w:r>
    </w:p>
    <w:p>
      <w:pPr>
        <w:pStyle w:val="Heading2"/>
      </w:pPr>
      <w:r>
        <w:t>Risk Factors And Limitations</w:t>
      </w:r>
    </w:p>
    <w:p>
      <w:r>
        <w:t>1) Data access and IP constraints: industrial partners may deny access to detailed ECO/BOM or supplier logs, limiting empirical validation. 2) Low annotation reliability: if ICC &lt; 0.7, measurement-error corrections become unstable and composite indices may be unreliable. 3) Weak or invalid instruments: candidate IVs (e.g., standards adoption) may fail exclusion tests or have first-stage F &lt; 10, preventing valid IV calibration. 4) Endogeneity and unobserved confounding: residual unobserved managerial decisions may bias causal estimates even after orthogonalization. 5) Simulation fidelity limits: ABM/DES may not capture key firm-specific processes, causing posterior mismatch when transporting priors. 6) Computational cost: 50k+ simulator runs plus emulator training may exceed available CPU/storage budget and slow iteration. 7) Generalization: results from 3–5 pilot families may not generalize across industries with different engineering practices. 8) Nonlinear measurement-error propagation: SIMEX/EIV approximations may be inadequate for strongly nonlinear models and composite indices, reducing interpretability. 9) Legal/privacy limits: differential-privacy noise and redaction may remove signal needed for small subgroups. 10) Failure modes for staggered-DiD: few treated cohorts or heterogeneous timing may invalidate event-study assumptions, requiring alternative estimators whose power may be limited.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