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shrinkflation_japan_cpi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Estimating the causal impact of product shrinkage on measured consumer prices in Japan using scanner-panel data, multimodal machine learning detection, and event-study identification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When firms reduce declared net weight or volume while keeping nominal shelf prices constant, household unit prices increase and produce a detectable upward bias in CPI-based inflation measures.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shrinkflation, CPI bias, and related retail measurement falls into three strands: (1) scanner-panel analyses that use GTIN and transaction data to detect price and quantity changes; (2) methodological work on CPI measurement bias, hedonic adjustment, and unit-price aggregation; and (3) machine learning and multimodal matching methods for product linking across time and retailers. Existing scanner-based approaches often rely only on textual GTIN/title matching or on list/transaction price differences and therefore miss cases where packaging images or ingredient changes reveal reformulation. Traditional CPI-bias studies commonly assume accurate quantity measures or use coarse imputations, limiting their ability to capture covert downsizing. Current ML matching pipelines are typically single-modality and lack standardized annotation schemas and inter-annotator agreement targets for shrinkage events. Cross-country harmonization and privacy-preserving synthetic releases are underdeveloped, and causal identification strategies often do not fully address dynamic selection into shrinkage or hedonic quality shifts.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measures how covert product downsizing (shrinkflation) affects inflation statistics in Japan and its implications for global comparisons. We combine retailer scanner panels, household purchase data, customs import-cost indicators, and archival product images with a multimodal machine learning detector to identify persistent net-weight reductions that occur without nominal price increases. We then estimate causal effects using event-study and staggered difference-in-differences designs around exogenous cost shocks (consumption-tax changes, commodity-price spikes, and exchange-rate episodes). Main contributions are: a preregistered multimodal labeling and GTIN-matching pipeline for robust shrinkage detection (text + OCR + images), a transparent CPI-bias metric based on expenditure-weighted unit-price drift, and causal estimates of shrinkage incidence and welfare consequences (compensating variation). Expected outcomes include quantified CPI bias attributable to shrinkage, evidence on firm behavior driving shrinkage, and policy-relevant estimates of consumer welfare loss. Results will inform measurement practice and potential disclosure or unit-price labeling interventions.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METI/Statistics Bureau CPI microdata; retailer scanner panels (AEON, Seven &amp; I, Lawson) or national panel providers (NielsenIQ/INTAGE); household FIES purchase/expenditure microdata; customs/import-price series and commodity futures indices; web-archived product pages and image archives. Baselines: (A) standard CPI aggregation ignoring declared net-weight changes; (B) heuristic GTIN-title fuzzy-matching detector (text-only); (C) single-modality image-hash detector. Proposed detector: multimodal stack combining transformer title embeddings (text), OCR-extracted ingredient and net-weight fields, and visual embeddings (CLIP or similar) with a calibrated logistic meta-classifier. Detection evaluation: stratified labeled set of 1,500 events with ≥400 positives; report precision, recall, F1, ROC-AUC, and calibration. Primary outcome metric: CPI-bias = expenditure-weighted change in unit price (price per 100g/ml) aggregated with official chain weights; report point estimates and 95% CIs via block bootstrap over households. Causal estimation: event-study and staggered DiD (Callaway &amp; Sant'Anna as primary; Sun &amp; Abraham for robustness) around shocks (2014 &amp; 2019 consumption-tax, commodity spikes, JPY excursions); cluster SEs at GTIN×store; use placebo windows and falsification on durables. Hedonic analysis: regress log unit price on ingredient and packaging attributes to separate reformulation vs pure shrinkage; functional form: OLS on log unit price with brand×time fixed effects; instrument candidates: commodity-index exposure, import-intensity, and tax-change eligibility. Ablations: remove image features; remove OCR attributes; run detector on balanced vs realistic prevalence; assess CPI-bias with and without hedonic adjustments. Experiments: lab choice experiment N≈400 (between-subjects) and field RCT N≈1,600 per arm over 12 weeks with three arms (control, unit-price prominence, mandatory size-change disclosure) measuring unit-price attention (eye-tracking or survey), choice shares, and compensating variation. Report MDE grid with clustered-RCT sample-size tables and power for ICC scenarios {0.01,0.05,0.1}. Reproducibility: release synthetic public-use panel (differentially private) and runnable analysis notebooks.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delays or restricted fields (missing declared net weight or images) may reduce event detection prevalence; low prevalence of true shrinkage increases manual labeling burden and may require large labeled samples; ML failure modes include false positives where packaging redesigns or multipacks mimic shrinkage, and false negatives when GTIN relabels lack provenance; distinguishing reformulation (ingredient change) from pure quantity reduction relies on OCR accuracy and image comparison, which can be noisy; hedonic identification of quality-value tradeoffs requires strong assumptions or valid instruments that may be weak; causal estimates face endogeneity if firms target shrinkage to products with changing demand or during stockouts; cross-country generalization may be limited by differences in labeling norms and GTIN practices; multimodal image models require substantial GPU compute and storage; producing differentially private synthetic data forces a privacy-utility tradeoff (privacy budget choices limit fidelity of public releases).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