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inequality_age_household_cee</w:t>
      </w:r>
    </w:p>
    <w:p>
      <w:r>
        <w:t xml:space="preserve"> </w:t>
      </w:r>
    </w:p>
    <w:p>
      <w:pPr>
        <w:pStyle w:val="Heading2"/>
      </w:pPr>
      <w:r>
        <w:t>Title</w:t>
      </w:r>
    </w:p>
    <w:p>
      <w:r>
        <w:t>Cohort-component and Bayesian tail-adjusted analysis of income inequality by age and household type in Central and Eastern Europe</w:t>
      </w:r>
    </w:p>
    <w:p>
      <w:r>
        <w:t xml:space="preserve"> </w:t>
      </w:r>
    </w:p>
    <w:p>
      <w:pPr>
        <w:pStyle w:val="Heading2"/>
      </w:pPr>
      <w:r>
        <w:t>Short Hypothesis</w:t>
      </w:r>
    </w:p>
    <w:p>
      <w:r>
        <w:t>An increase in the share of elderly-headed households (demographic aging) causally increases disposable income inequality across age groups and household types more in liberal post-socialist CEE states than in corporatist post-socialist CEE states between 2005 and 2022.</w:t>
      </w:r>
    </w:p>
    <w:p>
      <w:r>
        <w:t xml:space="preserve"> </w:t>
      </w:r>
    </w:p>
    <w:p>
      <w:pPr>
        <w:pStyle w:val="Heading2"/>
      </w:pPr>
      <w:r>
        <w:t>Related Work</w:t>
      </w:r>
    </w:p>
    <w:p>
      <w:r>
        <w:t>Existing work measures income inequality by age or by household type using survey microdata (e.g., EU-SILC) and sometimes applies Pareto tail corrections or tax-linkage to recover top incomes. Demographic studies use cohort-component projections and dynamic microsimulation to project household composition. Econometric approaches use APC (age-period-cohort) models to separate cohort and period effects, and hierarchical Bayesian models to pool information across small countries. Limitations: (1) Few studies combine household-level demographic projections with tail-corrected income series, so denominators and numerators can be inconsistent. (2) Survey-only tail treatments often lack rigorous diagnostics, pooled priors, or formal fallback rules for small tails. (3) Cross-country pooling of tail parameters is under-specified, leaving outlier countries poorly handled. (4) Uncertainty is often reported partially (sampling only) rather than jointly with imputation and projection uncertainty. (5) Household-type decompositions by single-year age with projection-based denominators remain rare in cross-CEE comparisons.</w:t>
      </w:r>
    </w:p>
    <w:p>
      <w:r>
        <w:t xml:space="preserve"> </w:t>
      </w:r>
    </w:p>
    <w:p>
      <w:pPr>
        <w:pStyle w:val="Heading2"/>
      </w:pPr>
      <w:r>
        <w:t>Abstract</w:t>
      </w:r>
    </w:p>
    <w:p>
      <w:r>
        <w:t>This study quantifies how demographic aging affects disposable income inequality by age and household type in Central and Eastern Europe (CEE) from 2005 to 2022. We combine cohort-component household projections with harmonized EU-SILC microdata and, where available, administrative tax linkages. For income numerator correction we use a two-track approach: tax-linked adjustments when possible and Pareto/Generalized Pareto (GPD) tail fitting with pooled Bayesian priors as a fallback. We pre-register OECD-modified equivalence as baseline and two sensitivity scales. We propagate uncertainty jointly using a nested Monte Carlo (demographic draws × survey resamples × multiple imputations) and report variance components. Age-period-cohort (APC) identification is addressed via three estimators (constrained APC, intrinsic estimator, Bayesian APC) to check robustness. The main contribution is an integrated, reproducible pipeline that produces consistent denominators and tail-adjusted income numerators with full uncertainty, enabling testable comparisons of liberal versus corporatist post-socialist welfare typologies. Expected outcome: transparent estimates of how aging changes inequality patterns across age and household types and quantification of uncertainty driving those conclusions.</w:t>
      </w:r>
    </w:p>
    <w:p>
      <w:r>
        <w:t xml:space="preserve"> </w:t>
      </w:r>
    </w:p>
    <w:p>
      <w:pPr>
        <w:pStyle w:val="Heading2"/>
      </w:pPr>
      <w:r>
        <w:t>Experiments</w:t>
      </w:r>
    </w:p>
    <w:p>
      <w:r>
        <w:t>Datasets: EU-SILC microdata microdata for 2005 and 2022 for the selected CEE sample; national census margins (age×sex×household type) for calibration; administrative tax records where available for tax-linked linkage; national vital statistics for demographic inputs. Baselines: (A) survey-only, unadjusted incomes; (B) survey + Pareto tail-adjusted incomes; (C) survey + tax-linked top-income replacements (where linkable); (D) as (C) but without household-projection denominators (naive). Equivalence alternatives: OECD-modified (baseline), per-capita, CEE-adapted (child=0.5, addl adult=0.8). Evaluation metrics: Gini coefficient overall and by single-year age × household type; top income shares (top 1%, top 10%); Theil index; Atkinson index (epsilon=0.5 and 1); 90/10 and 50/10 quantile ratios; decomposition of total inequality into within-age, between-age, and between-household-type components; calibration metrics for projections: MAE and RMSE of household-type margins vs census; tail-fit diagnostics: Anderson–Darling p-value, effective sample size (ESS), Hill-plot stability, and root-mean-square error (RMSE) in retrospective tail backtests. Experimental setup: implement nested Monte Carlo with 500 demographic projection draws × 200 survey resamples per draw × M=50 imputations (minimum); store variance components separately. Compare three APC estimators (constrained APC, intrinsic estimator, Bayesian APC with smoothing priors). Ablation studies: (1) remove tail adjustment (compare A vs B/C), (2) remove pooling of tail priors (compare pooled vs country-specific priors), (3) reduce nested draws (250×100) to test convergence, (4) switch equivalence scales. Retrospective backtest: run pipeline on earlier vintages (e.g., 2005 projection vs actual 2011/2015 cross-sections) and report calibration metrics and SBC (simulation-based calibration) p-values for Bayesian modules.</w:t>
      </w:r>
    </w:p>
    <w:p>
      <w:r>
        <w:t xml:space="preserve"> </w:t>
      </w:r>
    </w:p>
    <w:p>
      <w:pPr>
        <w:pStyle w:val="Heading2"/>
      </w:pPr>
      <w:r>
        <w:t>Risk Factors And Limitations</w:t>
      </w:r>
    </w:p>
    <w:p>
      <w:r>
        <w:t>1) Tail identification: small effective tail sample sizes can make Pareto/GPD fits unstable; pre-registered cutpoints and fallback rules may still misclassify tails. 2) Administrative linkage failure: many countries may not allow tax linkage, forcing reliance on survey-only corrections. 3) Unit nonresponse and MNAR (missing not at random): income nonresponse or misreporting can bias estimates and is hard to detect. 4) Top-coding and tax underreporting: administrative totals can omit informal income; tax records may understate top incomes if evasion exists. 5) Small-sample countries: hierarchical pooling may over-shrink real heterogeneity or fail to flag outliers. 6) Computational cost: nested Monte Carlo with many draws and imputations requires large CPU, memory, and storage and may force approximation modes. 7) Model identification: APC and microsimulation choices impose structural assumptions that limit causal interpretation. 8) Legal/ethical constraints: replacing survey records with tax records requires strict legal checks and may restrict reproducibility of derivatives. 9) Limited generalization: results focused on CEE and the selected welfare typologies may not generalize to other regions or time periods.</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