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organic_innovation_survey_germany</w:t>
      </w:r>
    </w:p>
    <w:p>
      <w:r>
        <w:t xml:space="preserve"> </w:t>
      </w:r>
    </w:p>
    <w:p>
      <w:pPr>
        <w:pStyle w:val="Heading2"/>
      </w:pPr>
      <w:r>
        <w:t>Title</w:t>
      </w:r>
    </w:p>
    <w:p>
      <w:r>
        <w:t>A survey‑based evaluation of stakeholder acceptance and development potential of innovations and strategies for organic farming in Germany</w:t>
      </w:r>
    </w:p>
    <w:p>
      <w:r>
        <w:t xml:space="preserve"> </w:t>
      </w:r>
    </w:p>
    <w:p>
      <w:pPr>
        <w:pStyle w:val="Heading2"/>
      </w:pPr>
      <w:r>
        <w:t>Short Hypothesis</w:t>
      </w:r>
    </w:p>
    <w:p>
      <w:r>
        <w:t>Innovations that field‑day attendees rate as more acceptable and more important cause higher stated adoption intention and higher prioritization for development than innovations rated lower.</w:t>
      </w:r>
    </w:p>
    <w:p>
      <w:r>
        <w:t xml:space="preserve"> </w:t>
      </w:r>
    </w:p>
    <w:p>
      <w:pPr>
        <w:pStyle w:val="Heading2"/>
      </w:pPr>
      <w:r>
        <w:t>Related Work</w:t>
      </w:r>
    </w:p>
    <w:p>
      <w:r>
        <w:t>Prior work evaluates innovation adoption in organic farming using surveys, demonstration trials, and diffusion studies. Common approaches include convenience sampling at events, probability samples from farm registries, mixed‑effects models for on‑farm outcomes, and qualitative interviews to explain adoption decisions. Limitations across studies are: reliance on non‑representative samples that bias estimates of acceptance; limited integration of survey perceptions with on‑farm randomized designs; weak handling of spatial dependence between nearby farms; sparse power analyses calibrated to realistic variance components (especially for slow indicators like soil organic carbon, SOC); inadequate measurement‑error accounting for SOC and biomass; and insufficient transparency on pre‑registered estimands and missing‑data sensitivity. Many studies report associations but do not pre‑specify causal estimands (ATE, ITT, or CACE) or fully compare spatial vs non‑spatial inference. There is also limited practice of tiered geodata governance that preserves analytic value while protecting privacy.</w:t>
      </w:r>
    </w:p>
    <w:p>
      <w:r>
        <w:t xml:space="preserve"> </w:t>
      </w:r>
    </w:p>
    <w:p>
      <w:pPr>
        <w:pStyle w:val="Heading2"/>
      </w:pPr>
      <w:r>
        <w:t>Abstract</w:t>
      </w:r>
    </w:p>
    <w:p>
      <w:r>
        <w:t>This study measures stakeholder acceptance, perceived importance, and development potential of innovations for organic farming by surveying attendees at Germany’s organic field days and linking those perceptions to a pilot set of on‑farm randomized trials. We combine a field‑day convenience sample with a supplementary probability sample from the national organic registry, and we run pilot strip/block randomized trials across representative farms. The main contribution is a reproducible, pre‑registered pipeline that: (1) quantifies which innovations are acceptable and prioritized by stakeholders, (2) translates perception scores into adoption intention models, and (3) evaluates early agronomic signals (yield, weed biomass, soil organic carbon, gross margin) using mixed‑effects and spatial models. We report power and minimum detectable effect (MDE) curves, compare inference with and without weighting and spatial terms, and make all code, SOPs, and non‑identifying data public under controlled access. Expected outcomes are prioritized innovation lists linked to plausible development potential and clear guidance for scaling trials and policy support.</w:t>
      </w:r>
    </w:p>
    <w:p>
      <w:r>
        <w:t xml:space="preserve"> </w:t>
      </w:r>
    </w:p>
    <w:p>
      <w:pPr>
        <w:pStyle w:val="Heading2"/>
      </w:pPr>
      <w:r>
        <w:t>Experiments</w:t>
      </w:r>
    </w:p>
    <w:p>
      <w:r>
        <w:t>Datasets: (1) Field‑day survey: convenience sample of attendees at multiple organic field days (target N≥800), collecting acceptance (binary), importance (Likert 1–7), development potential ranking, adoption intention (Likert), farm covariates, and ego‑network module; (2) Registry sample: probability‑based supplemental sample drawn from the national organic farm registry (target N≥400) for post‑stratification; (3) Pilot trials: randomized strip/block trials on 6–10 pilot farms for variance estimates; (4) Scaled trials: randomized trials across 30–60 farms, 3 replicates per farm, plot widths ≥6–10 m, lengths ≥15–30 m; repeated sampling annually for SOC and economics. Baselines: (A) unweighted descriptive ranking of innovations; (B) post‑stratified weighted survey estimates; (C) propensity‑weighted models; (D) mixed‑effects model without spatial terms; (E) mixed‑effects model with spatial random effects (Gaussian Process) and SAR as alternative. Evaluation metrics: acceptance fraction, mean importance score, mean adoption intention, rank correlation of development potential (Spearman rho), effect sizes for adoption intention (mean differences, Cohen’s d), ATE estimates for agronomic outcomes (mean difference, 95% CI), standardized error metrics (RMSE) for predictive models, intraclass correlation coefficients (ICCs), design effect and effective sample size, power and MDE curves, balance metrics (standardized mean differences) after randomization/weighting, and sensitivity statistics for MNAR and Rosenbaum bounds. Experimental setup: pre‑register primary outcomes (yield, SOC 0–10 cm and 10–30 cm, weed biomass g m‑2, gross margin € ha‑1), pre‑specify models: linear mixed models with random intercepts for farm and farm×year, AR(1) residuals for repeated measures; compare spatial model (Gaussian Process random effect) and SAR model; randomization blocked by region × cropping system with 1:1 allocation and covariate‑adaptive stratification if imbalance risk is high; report ITT and per‑protocol estimands and estimate CACE if noncompliance using IV (encouragement instrument). Missing data: implement hierarchical MICE (multiple imputation by chained equations) including farm and region random effects, run MNAR delta‑adjustment sensitivity analyses. Ablations and comparisons: (1) full pipeline vs no post‑stratification weights; (2) mixed model without spatial terms vs with spatial GP vs SAR; (3) imputed vs complete‑case analyses; (4) 3‑year SOC horizon vs 5‑year horizon in power simulation; (5) models with and without measurement‑error correction for SOC (error‑in‑variables). Report seeds and simulation code for power curves and all analyses for reproducibility.</w:t>
      </w:r>
    </w:p>
    <w:p>
      <w:r>
        <w:t xml:space="preserve"> </w:t>
      </w:r>
    </w:p>
    <w:p>
      <w:pPr>
        <w:pStyle w:val="Heading2"/>
      </w:pPr>
      <w:r>
        <w:t>Risk Factors And Limitations</w:t>
      </w:r>
    </w:p>
    <w:p>
      <w:r>
        <w:t>Sampling bias: field‑day convenience samples may not represent national organic farms, requiring strong weighting and a supplemental probability sample. SOC detectability: SOC changes are slow; a 0.25 percentage‑point change in 3 years may be unrealistic in many soils. Measurement error: lab variability and sub‑sampling error for SOC, root and weed biomass can reduce power. Noncompliance and spillovers: farmers may not follow assigned treatments or nearby plots may contaminate treatments, biasing ITT and per‑protocol estimates. Spatial dependence: unmodeled spatial autocorrelation can inflate Type I error or bias estimates. Missing data: farm diaries and follow‑ups may have systematic nonresponse (MNAR). Privacy constraints: strong anonymization can limit fine‑scale spatial analysis. Small sample inference: cluster counts (30–60 farms) can limit precision for heterogeneous effects and require small‑sample corrections. Budget and logistics: costs for lab analyses, travel, and inter‑lab calibration may limit sample sizes or monitoring frequency. Generalization: results tied to German organic systems and field‑day attendees may not generalize to other regions or conventional systems.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