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e_waste_dismantling_carbon_accounting</w:t>
      </w:r>
    </w:p>
    <w:p>
      <w:r>
        <w:t xml:space="preserve"> </w:t>
      </w:r>
    </w:p>
    <w:p>
      <w:pPr>
        <w:pStyle w:val="Heading2"/>
      </w:pPr>
      <w:r>
        <w:t>Title</w:t>
      </w:r>
    </w:p>
    <w:p>
      <w:r>
        <w:t>Field-based carbon footprint accounting method linking daily electricity consumption with daily dismantling volumes for e-waste dismantling facilities in China</w:t>
      </w:r>
    </w:p>
    <w:p>
      <w:r>
        <w:t xml:space="preserve"> </w:t>
      </w:r>
    </w:p>
    <w:p>
      <w:pPr>
        <w:pStyle w:val="Heading2"/>
      </w:pPr>
      <w:r>
        <w:t>Short Hypothesis</w:t>
      </w:r>
    </w:p>
    <w:p>
      <w:r>
        <w:t>Matching daily measured facility electricity consumption to daily dismantling volumes yields a mean facility carbon intensity that differs by at least 20% from estimates using provincial-average grid emission factors.</w:t>
      </w:r>
    </w:p>
    <w:p>
      <w:r>
        <w:t xml:space="preserve"> </w:t>
      </w:r>
    </w:p>
    <w:p>
      <w:pPr>
        <w:pStyle w:val="Heading2"/>
      </w:pPr>
      <w:r>
        <w:t>Related Work</w:t>
      </w:r>
    </w:p>
    <w:p>
      <w:r>
        <w:t>Existing studies of e-waste carbon footprints typically rely on lifecycle assessment using literature emission factors, provincial or national average grid emission factors, and coarse material-flow assumptions. Prior field studies are sparse and often limited to single sites or short campaigns; they commonly omit measured fugitive emissions (uncontrolled leaks and small releases), episodic open-burning events, or high-temporal-resolution electricity matching. Co-product handling varies: some studies use allocation by mass or economic value while others apply system expansion inconsistently, creating double-counting risk for avoided-primary-production credits. Uncertainty treatment in prior work is often simplified (single-point factors or limited Monte Carlo) and lacks explicit correlation structures or stratified sampling designs. Methods also rarely include robust chain-of-custody protocols for recovered materials, making credit allocation and verification difficult. These gaps limit temporal accuracy, increase uncertainty around fugitive and episodic emissions, and reduce policy relevance.</w:t>
      </w:r>
    </w:p>
    <w:p>
      <w:r>
        <w:t xml:space="preserve"> </w:t>
      </w:r>
    </w:p>
    <w:p>
      <w:pPr>
        <w:pStyle w:val="Heading2"/>
      </w:pPr>
      <w:r>
        <w:t>Abstract</w:t>
      </w:r>
    </w:p>
    <w:p>
      <w:r>
        <w:t>We present a field-based accounting method that links daily measured electricity consumption to daily dismantling volumes to produce a high-resolution carbon inventory for e-waste dismantling facilities in China. The method combines stratified field sampling across formal, informal, and mixed sites with continuous and discrete measurements of process energy use, direct emissions, and material outputs. Main contributions are: (1) a daily-matching procedure that allocates electricity-based emissions to dismantling throughput; (2) empirically derived emission factors for facility-gate processes including fugitive and episodic releases; and (3) an uncertainty framework using Monte Carlo simulation to propagate measurement and representativeness error. Expected outcomes are more accurate facility carbon intensity estimates (tCO2e per tonne dismantled), quantified uncertainty ranges, and transparent rules for co-product credits and chain-of-custody. Results will inform policy by showing how temporal resolution and measured fugitive emissions change carbon accounting compared to inventories using provincial-average grid factors.</w:t>
      </w:r>
    </w:p>
    <w:p>
      <w:r>
        <w:t xml:space="preserve"> </w:t>
      </w:r>
    </w:p>
    <w:p>
      <w:pPr>
        <w:pStyle w:val="Heading2"/>
      </w:pPr>
      <w:r>
        <w:t>Experiments</w:t>
      </w:r>
    </w:p>
    <w:p>
      <w:r>
        <w:t>Datasets: (a) Pilot: 2-3 sites with full instrument suites (continuous CO2/CH4/N2O, VOCs, PM, sub-meters, tracer tests, ICP-MS/GC-MS residue analysis). (b) Main study: 30 sites stratified 10 formal/10 informal/10 mixed across 3-4 provinces, each with 5 independent processing-day batches per season (two seasons). (c) Reference datasets: provincial monthly grid EFs (CLCD/MEIC/NEA/CEADs), IPCC open-burning factors, manufacturer energy specs. Baselines: (1) Attributional LCA using provincial-average monthly grid EFs (baseline), (2) Attributional LCA using daily-matched measured electricity, (3) IPCC/defaults for episodic events, (4) Allocation-based co-product handling (mass/economic) as sensitivity. Evaluation metrics: mean facility carbon intensity (tCO2e/tonne), 95% confidence intervals, mass-balance closure (%) per batch, bias and root-mean-square error (RMSE) relative to measured-total emissions, Sobol or Spearman sensitivity indices, statistical test for 20% difference (mixed-effects model with site random intercepts). Experimental setup: derive process emissions normalized by batch throughput; run Monte Carlo with 10,000 iterations using beta distributions for yields and log-normal for emission factors; use stratified bootstrap to preserve intra-class correlation (ICC). Tracer-test experiments: specified release rates and layout (see tracer SOP deliverable) to validate plume-capture. Ablation studies: (A) remove daily electricity-to-throughput matching and compare carbon intensities; (B) exclude measured fugitive/episodic emissions and compare; (C) compare system expansion vs allocation for co-product credits; (D) apply gravimetric correction vs uncorrected DustTrak PM results and report effect on PM-linked GHG co-benefits. Statistical power: compute sample-size scenarios across ICC (0.1-0.5) and 0-20% missingness to confirm ability to detect 20% effect.</w:t>
      </w:r>
    </w:p>
    <w:p>
      <w:r>
        <w:t xml:space="preserve"> </w:t>
      </w:r>
    </w:p>
    <w:p>
      <w:pPr>
        <w:pStyle w:val="Heading2"/>
      </w:pPr>
      <w:r>
        <w:t>Risk Factors And Limitations</w:t>
      </w:r>
    </w:p>
    <w:p>
      <w:r>
        <w:t>Access and sampling bias: informal or illegal operations may refuse access or alter behavior when observed. Measurement capture failure: plume-capture criteria may not be met, producing reliance on default factors with large uncertainty. Instrument limitations: semi-quantitative PM monitors (e.g., DustTrak) require gravimetric correction; lab analyses may have MDL/LOQ or matrix effects that limit detection of low-level refrigerants. Chain-of-custody and double-claim risk: incomplete transfer records can undermine avoided-production credits. Data missingness: high rates reduce power and may bias estimates. Generalizability: results from selected provinces and sampled sites may not represent all Chinese dismantling operations. Uncertainty modeling limits: correlations among parameters (e.g., yields vs recovered mass) may be misspecified, affecting propagated uncertainty. Legal/ethical risks: engaging illegal operations poses intervention risk and could interrupt data collection. Computational limits: large Monte Carlo runs and mixed-effects models require sufficient compute and reproducible code management.</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