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corporate_purpose_strategic_renewal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systematic review and mixed-method, design-oriented investigation using staggered difference-in-differences and qualitative Gioia cases to test how corporate purpose affects strategic renewal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Increases in a firm's authentic and salient corporate purpose cause higher strategic renewal, evidenced by increased R&amp;D intensity, patent counts, and new product introductions within three years.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splits into three streams: archival/text analyses of mission, purpose, and CSR disclosures using dictionary or basic supervised NLP; econometric studies of firm change and renewal using difference-in-differences, synthetic control, and dynamic panel methods; and qualitative studies that trace microfoundations via interviews and case methods. Limitations of current approaches include fragmented literatures that rarely integrate measurement and causal testing; measurement weaknesses from limited validation of purpose authenticity and salience; endogeneity and biased estimates when using two-way fixed effects with staggered treatment timing; weak or undocumented instruments and few weak-instrument–robust inferences; sparse mediation identification for microfoundations (manager cognition, routines); small and non-systematic qualitative samples; and limited cross-country, cross-language validation of NLP measures. These gaps leave causal paths between purpose and renewal under-identified and measurement reliability under-tested.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addresses whether authentic and salient corporate purpose causally drives strategic renewal. We first conduct a systematic literature review to map fragmented evidence linking corporate purpose and renewal. Building on that map, we develop validated measures of purpose authenticity and salience using surveys, a human-coded gold standard, and text-based classifiers. We then test causal effects in large-N archival panels using staggered difference-in-differences with modern estimators for heterogeneous timing, event-study local projections, synthetic controls for firm-specific shocks, and dynamic panel models for persistence. To unpack mechanisms, we run purposive longitudinal Gioia-style case studies matched to quantitative extremes. Main contributions are (1) a reproducible measurement codebook and validated NLP classifiers for purpose constructs, (2) a pre-specified, estimator-robust causal pipeline that documents instrument tests and weak-IV procedures, and (3) integrated mixed-method evidence on managerial cognition and stakeholder engagement as mediators. Expected outcomes are validated measures, transparent causal estimates, and a prioritized research agenda to guide further empirical tests.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Archival panel: public firms 2010–2024 with annual financials, R&amp;D, and firm controls from EDGAR and global financial databases; (2) Patent data: USPTO/PatentsView with yearly counts and 3-year citation windows; (3) Text corpora: annual reports, CEO letters, proxy statements, earnings-call transcripts; (4) Treatment/intervention sources: EU NFRD→CSRD rollout timing by country/firm, ESG-index inclusion/exclusion records, mapped abrupt CEO departure events with successor background; (5) Survey: manager perceptual measures sample of 80–120 firms × 8–15 managers each; (6) Gold-standard corpus: 500 human-labeled documents for purpose authenticity and salience across languages. Baselines: TWFE DiD (two-way fixed effects), dictionary-based NLP, no-mediation models. Proposed methods: Callaway &amp; Sant’Anna and Sun &amp; Abraham staggered DiD estimators (to handle treatment-timing heterogeneity), event-study local projections, augmented synthetic control for single-firm shocks, system GMM (Arellano‑Bover/Blundell‑Bond) for dynamic panels, transformer-based classifiers (RoBERTa/XLM-R) and XGBoost structured models for text features, multilevel mediation (firm-level mediator, firm outcomes), and weak-IV–robust inference (Anderson–Rubin, LIML, conditional likelihood ratio). Metrics: Average treatment effect on the treated (ATT) with robust CIs, pre-trend p-values, first-stage F-statistics (&gt;10 target), NLP per-class precision/recall/F1, Krippendorff’s alpha for coding, estimated indirect effect size and standard error, power achieved (%) for mediation tests. Experimental setup: pre-register hypotheses and analysis plan; define event windows (pre-period = 8 quarters; post = up to 12 quarters), cluster SEs at firm-level and industry-level sensitivity, correct for multiple testing (Benjamini–Hochberg), and run placebo lead tests (4–8 quarters). Ablation studies: (A) NLP ablation: transformer classifier vs dictionary vs XGBoost structured features; (B) causal estimator ablation: Callaway/Sant’Anna vs TWFE vs synthetic control; (C) mediation identification ablation: sequential ignorability multilevel mediation vs instrumental mediation when valid instruments exist. Report all robustness checks and null distributions from permutation tests.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Weak instruments or low first-stage strength that prevent credible IV estimates; violations of exclusion restrictions or anticipatory behavior that bias DiD estimates; treatment-timing heterogeneity that complicates aggregated ATT interpretation; pre-trend differences that invalidate causal claims; measurement error in NLP classifiers from small cross-language labels or concept drift over time; low survey response rates reducing power for mediation tests; limited generalizability to privately held or very small firms; compute and storage limits for large transformer training across multiple languages; IRB or DUA constraints limiting access to sensitive qualitative materials; inability to fully identify sequential ignorability for mediators, limiting causal mediation claims; and multiple-testing inflating false discoveries if not strictly controlled.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