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qianyang_lulc_esv_plus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Spatial analysis of land-use and land-cover change impacts on ecosystem service value in Qianyang County using high-resolution mapping, spatial statistics, and the PLUS land-change model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Observed land-use and land-cover changes from 2007–2022 that convert cropland to built-up areas or monoculture plantations cause a measurable decrease in total ecosystem service value (ESV) in Qianyang County of at least 10% by 2050 under a business-as-usual scenario, as estimated by spatially explicit Monte Carlo propagation of classification and coefficient uncertainty and PLUS-modelled land-change scenarios.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combines satellite-based LULC mapping (Landsat, Sentinel-2) with machine-learning classifiers (Random Forest, XGBoost) and biophysical valuation models (InVEST) to estimate ESV. Land-change forecasting commonly uses CA-Markov, DINAMICA, or statistical suitability models; newer work applies PLUS for patch-level dynamics. Common weaknesses are: (1) ESV studies often rely on nationally averaged coefficients without local calibration, producing biased local values; (2) uncertainty propagation frequently treats classification and coefficient errors independently, yielding under-estimated confidence intervals; (3) spatial autocorrelation is under-addressed in sampling and validation, inflating apparent accuracy; (4) copula or conditional simulation methods for preserving spatial correlation in Monte Carlo ensembles are rarely implemented; (5) structural uncertainty across alternative land-change models and scenario linkages to local policies are not routinely quantified. These gaps limit reliable, policy-relevant inference about LULC-driven ESV change.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assesses how land-use and land-cover (LULC) changes alter ecosystem service value (ESV) in Qianyang County by combining high-resolution historical mapping, spatial statistics, and forward-looking scenarios. We will produce 30 m LULC maps for 2007–2022 using Landsat and Sentinel-2, map spatial clustering of ESV with localized biophysical tables, and simulate 2050 LULC under alternative futures using the PLUS land-change model. Uncertainty will be propagated with a nested Monte Carlo that jointly samples per-pixel classification probabilities and ESV coefficient distributions, preserving spatial error structure via spatial copulas or conditional simulation. The main contributions are: (1) a reproducible pipeline linking probabilistic LULC maps to ESV with spatially coherent uncertainty; (2) a formal per-stratum sample-size and validation protocol that accounts for spatial autocorrelation; and (3) comparative scenario results demonstrating how policy-driven land-change pathways affect ESV by 2050. Expected outcomes are spatially explicit ESV maps with defensible confidence intervals and scenario summaries useful for county land-management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Landsat Collection 2 Level-2 Surface Reflectance scenes for epochs 1990, 2000, 2010, 2020, 2022–2024; Sentinel-2 Level-2A 2015–2024; SRTM v3 or AW3D30 DEM; SoilGrids/HWSD soils; WorldClim/ERA5 climate; county statistical yearbooks; high-resolution validation imagery (licensed Planet/Gaofen/Google) and field plots (pilot n=40, full campaign target n=600). Baselines: (A) RF/XGBoost classification without spatial blocking; (B) LandTrendr/BFAST-only disturbance detection; (C) CA-Markov land-change model; (D) InVEST ESV using unadjusted national coefficients. Pipeline: preprocess BRDF-normalized, cloud-masked seasonal composites; train RF and XGBoost with 5 km spatial block cross-validation; produce per-pixel calibrated class-probability rasters. Validation: reserve 200 independent field-validation plots withheld from training; target per-class producer/user accuracy &gt;=80% for major classes and &gt;=70% for minor classes; report confusion matrices, area-adjusted accuracies and 95% CIs via bootstrap (N=1000). Experiments: (1) Sample-size ablation: compare nominal 30 points/stratum vs Deff-adjusted n using empirical spatial autocorrelation (Deff = 1 + (m-1)ρ) and report impact on area CI width; (2) Copula ablation: propagate uncertainty with (a) independent sampling, (b) Gaussian copula, (c) t-copula or vine copula; compare resulting ESV CI widths and tail behavior; (3) MC convergence: run N=1k, 5k, 10k and report ESS and R_hat, choose N meeting ESS&gt;200 and R_hat&lt;1.1; (4) Land-change model comparison: PLUS vs CA-Markov vs DINAMICA trained on 1990–2010, validated 2010–2020 (transition AUC and kappa), then project 2050 under three scenario narratives (business-as-usual, restoration, accelerated urbanization); (5) ESV evaluation: run InVEST (Carbon, Crop, Sediment, Water Yield) across 1000 ensemble draws per scenario, report RMSE and 95% CI for total ESV and per-service ESV, and quantify difference-in-difference of ESV relative to a no-change baseline. Metrics: producer/user accuracy, overall accuracy, AUC, kappa, area CI width, ESS, R_hat, ESV mean and 95% CI, RMSE, and hindcast transition AUC&gt;0.75 target. Deliverables: reproducible notebooks, Docker container, ROC memo, per-stratum sample-size calculator (equations and worked examples), and a traced pilot-pixel→probability→ESV→MC quantile example.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Classification errors bias ESV: mislabelled pixels, especially at class edges, can change high-value pixels and distort ESV. 2) Coarse or inappropriate ESV coefficients: national coefficients may not represent local productivity, causing systematic bias. 3) Limited sample sizes for copula estimation: estimating correlation matrices for multivariate copulas requires substantial paired samples; small n increases noise and may mischaracterize tail dependence. 4) Spatial autocorrelation: if unaccounted, accuracy estimates and CI widths will be overly optimistic. 5) Computational cost: nested Monte Carlo with spatial copulas and multiple land-change model ensembles requires high compute; resource limits may force lower N or model emulators. 6) Licensing constraints: high-resolution imagery (Planet, Gaofen) often restricts redistribution of derived products, limiting public release. 7) Model structural uncertainty: alternative land-change models may produce divergent 2050 outcomes; scenario plausibility depends on socio-economic assumptions and county plan alignment. 8) Limited generalization: methods and coefficients calibrated for Qianyang may not transfer to other regions without recalibration. 9) Biophysical model simplifications: InVEST modules use simplified physics and may not capture local processes (e.g., irrigation returns), limiting accuracy for some services. 10) Field data risks: access, seasonality, or labor constraints can reduce sample sizes and delay availability of cleaned datasets for analysis.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