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dvt_prophylaxis_motivation_scale</w:t>
      </w:r>
    </w:p>
    <w:p>
      <w:r>
        <w:t xml:space="preserve"> </w:t>
      </w:r>
    </w:p>
    <w:p>
      <w:pPr>
        <w:pStyle w:val="Heading2"/>
      </w:pPr>
      <w:r>
        <w:t>Title</w:t>
      </w:r>
    </w:p>
    <w:p>
      <w:r>
        <w:t>Development and psychometric validation of a protection-motivation-theory-based scale measuring patient motivation for postdischarge deep vein thrombosis prophylaxis after hip and knee arthroplasty</w:t>
      </w:r>
    </w:p>
    <w:p>
      <w:r>
        <w:t xml:space="preserve"> </w:t>
      </w:r>
    </w:p>
    <w:p>
      <w:pPr>
        <w:pStyle w:val="Heading2"/>
      </w:pPr>
      <w:r>
        <w:t>Short Hypothesis</w:t>
      </w:r>
    </w:p>
    <w:p>
      <w:r>
        <w:t>Higher scores on the protection-motivation-theory-based motivation scale cause greater objective adherence to prescribed postdischarge DVT prophylaxis within 6 weeks after hip or knee arthroplasty.</w:t>
      </w:r>
    </w:p>
    <w:p>
      <w:r>
        <w:t xml:space="preserve"> </w:t>
      </w:r>
    </w:p>
    <w:p>
      <w:pPr>
        <w:pStyle w:val="Heading2"/>
      </w:pPr>
      <w:r>
        <w:t>Related Work</w:t>
      </w:r>
    </w:p>
    <w:p>
      <w:r>
        <w:t>Existing work on adherence measurement after surgery uses general medication-adherence tools, self-efficacy questionnaires, and objective pharmacy refill metrics. Some studies combine self-report and pharmacy data to estimate adherence; others use electronic monitoring devices (MEMS) to measure actual pill-taking. Prior scales rarely target the specific cognitive drivers of adherence framed by Protection Motivation Theory (threat appraisal and coping appraisal) for short, fixed-duration prophylaxis after arthroplasty. Limitations of current approaches: self-report scales are prone to recall and social-desirability bias; pharmacy refill metrics (PDC) can misclassify ingestion for short courses; MEMS gives accurate timing but is costly and not scalable; few instruments report robust item-level psychometrics (IRT) or test measurement invariance across sites and languages. No widely validated, theory-grounded tool exists that links motivation constructs to objective adherence for postdischarge DVT prophylaxis.</w:t>
      </w:r>
    </w:p>
    <w:p>
      <w:r>
        <w:t xml:space="preserve"> </w:t>
      </w:r>
    </w:p>
    <w:p>
      <w:pPr>
        <w:pStyle w:val="Heading2"/>
      </w:pPr>
      <w:r>
        <w:t>Abstract</w:t>
      </w:r>
    </w:p>
    <w:p>
      <w:r>
        <w:t>We will create and validate a brief, theory-based instrument that measures patients' motivation for postdischarge deep vein thrombosis (DVT) prophylaxis after hip or knee arthroplasty. Item content will be generated from Protection Motivation Theory and refined by patient interviews and expert review. Psychometric evaluation will include exploratory and confirmatory factor analysis, item response theory graded response modeling, internal consistency, and test–retest reliability. The primary clinical validation will test whether scale scores predict objective adherence (pharmacy Proportion of Days Covered calibrated against MEMS electronic monitoring in a nested sample) over 6 weeks postdischarge. Secondary analyses will assess measurement invariance across sites and languages and explore predictive validity for symptomatic VTE as an exploratory, rare outcome. The main contribution is a validated, actionable motivation scale with calibrated mapping to objective adherence, enabling targeted adherence interventions after arthroplasty.</w:t>
      </w:r>
    </w:p>
    <w:p>
      <w:r>
        <w:t xml:space="preserve"> </w:t>
      </w:r>
    </w:p>
    <w:p>
      <w:pPr>
        <w:pStyle w:val="Heading2"/>
      </w:pPr>
      <w:r>
        <w:t>Experiments</w:t>
      </w:r>
    </w:p>
    <w:p>
      <w:r>
        <w:t>Datasets and sample sizes: Pilot N=120 for item refinement and cognitive interviews; main validation N=500 total split into EFA N=250 and CFA N=250; MEMS nested subsample N=150 for calibration; test–retest subsample N=80. Participant criteria: adults undergoing primary elective hip or knee arthroplasty discharged home with prescribed DVT prophylaxis. Baselines: compare new motivation scale against (1) a general medication-adherence self-report instrument, (2) pharmacy PDC alone, and (3) self-efficacy subscale. Psychometric evaluation: EFA (oblimin rotation) on EFA split; CFA on holdout split with fit indices target CFI≥0.95, TLI≥0.95, RMSEA≤0.06. Reliability: Cronbach's alpha and McDonald's omega ≥0.70; test–retest Intraclass Correlation Coefficient (ICC) target ≥0.70. IRT: graded response model (GRM) to estimate item discrimination and thresholds; report standard errors of discrimination parameters and item information curves. Calibration experiment: use MEMS as reference to estimate sensitivity and specificity of PDC mapping to dose-completion; compute 95% exact binomial CIs for Se/Sp in N=150; fit a logistic calibration model mapping PDC to probability of dose-completion and cross-validate with 5-fold CV. Prediction experiments: primary outcome is objective adherence over prescribed duration (dose-completion ≥90%). Evaluate prediction using AUC, calibration slope, Brier score, and decision-curve analysis for clinical thresholds. Compare models: (A) baseline covariates only, (B) baseline + PDC, (C) baseline + motivation scale, (D) baseline + motivation scale + calibrated PDC. Ablations: (i) remove IRT-calibrated scoring versus simple sum score, (ii) compare 12-item versus 15-item versions, (iii) exclude MEMS calibration to assess impact on predictive accuracy. Rare outcome analysis: symptomatic VTE within 90 days modeled as exploratory using Fine–Gray competing-risk or Firth-penalized Cox if event counts are low; report effect estimates with penalization/shrinkage. Missing data: multiple imputation by chained equations with number of imputations &gt;= percentage of incomplete cases; perform sensitivity with pattern-mixture tipping-point analyses. Reproducibility: preregister statistical analysis plan and provide code for EFA/CFA, GRM, calibration, and prediction models.</w:t>
      </w:r>
    </w:p>
    <w:p>
      <w:r>
        <w:t xml:space="preserve"> </w:t>
      </w:r>
    </w:p>
    <w:p>
      <w:pPr>
        <w:pStyle w:val="Heading2"/>
      </w:pPr>
      <w:r>
        <w:t>Risk Factors And Limitations</w:t>
      </w:r>
    </w:p>
    <w:p>
      <w:r>
        <w:t>Low event rate for symptomatic VTE will limit power for direct clinical prediction and require pooling or exploratory interpretation. MEMS devices may fail, be misused, or be refused, reducing calibration sample size. Pharmacy PDC can misclassify ingestion for short fixed courses and for shared or split prescriptions. Self-report items risk recall and social-desirability bias. Missing data and differential follow-up (nonrandom attrition) can bias results. Cross-site and cross-language measurement invariance may not hold, limiting comparability; small site clusters reduce precision for multilevel models. Cost and logistics of MEMS and home-nursing verification limit scalability. Models may overfit without adequate shrinkage; external generalization to non-arthroplasty populations is uncertain.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