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optimal_bank_capital_tradeoff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trade-off corporate finance model integrating cost-of-leverage and Merton default dynamics to compute optimal bank capital and capital requirements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There exists an interior optimal equity-to-assets ratio θ* at which the marginal reduction in bank default probability and crisis costs from higher equity equals the marginal increase in funding cost from lost debt tax shields and liquidity premia.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split into two strands. Trade-off corporate finance models set bank value as benefits minus costs of leverage but typically use reduced-form default or ignore liquidity premia and implicit subsidies; Merton-style structural models compute default probabilities from asset dynamics but rarely incorporate corporate-style tax shields, agency costs, or regulatory implicit subsidies endogenously. Separately, literature on bailouts and implicit subsidies documents size and systemic-state dependence but often treats subsidy as exogenous. Empirical work uses difference-in-differences, event studies, and RD at regulatory thresholds, yet faces anticipation, staggered-treatment bias, and weak instruments. Limitations: no unified framework combines a structural trade-off objective with Merton default mechanics, liquidity-adjusted cost-of-leverage, endogenous bailout expectations, and a reproducible Monte‑Carlo calibration tied to supervisory and market data; identification threats and measurement error are only partially addressed in prior methods.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optimal bank capital from a corporate finance trade-off perspective by integrating a cost-of-leverage framework with Merton-style default modeling. The model maps equity-to-assets (θ) choices into (i) benefits from tax shields and implicit subsidies and (ii) costs from higher liquidity premia, agency/franchise loss and increased funding costs. We endogenize bailout probability as a state- and size-dependent function that feeds back into funding benefits. Methodologically, we deliver closed-form first-order conditions for candidate benefit and cost functions, calibrate priors in a hierarchical Bayesian setup, and compute optimal capital via importance-sampled Monte Carlo simulations that target tail states. Empirically, we propose pre-registered staggered DiD, RD at G-SIB cutoffs and event studies using supervisory and market data to estimate mappings from θ to default probability, funding costs and welfare. The contribution is a transparent, reproducible pipeline that links structural identification to policy-relevant capital recommendations and out-of-sample crisis backtests.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quarterly supervisory returns (e.g., FR Y-9C for US banks; equivalent national regulatory returns), bank panel data from BvD/BankScope, market data: equity prices, option implied volatilities, CDS spreads and bond yields (vendor feeds), G-SIB scores and Basel/CCyB implementation dates, systemic stress indices (VIX, banking stress index), and historical resolution databases for recovery rates. Baselines: (A) standard trade-off model without liquidity premium or endogenous subsidy, (B) pure Merton calibration with exogenous tax shield, (C) reduced-form DiD regressions of leverage on regulation. Metrics: estimated optimal θ* (point estimate and credible interval), social welfare change ΔW (monetized), out-of-sample tail loss metrics ES99 and default probability p_D, parameter posterior diagnostics (ESS, R-hat), and regression inference metrics (t-stats, clustered SE, placebo p-values). Experimental setup: 1) Calibrate structural model using hierarchical Bayesian estimation on pre-crisis and post-crisis samples; publish priors and seeds. 2) Run Monte Carlo risk engine with importance sampling (target ≥100k effective tail draws) to compute θ* and welfare under alternate priors. 3) Empirical identification: pre-register staggered DiD using Sun &amp; Abraham correction (controls: bank FE, time FE, σ, size, ROA, deposits ratio), event studies around Basel/CCyB announcements (windows: announcement −5/+5 trading days; implementation −2/+20 days), and RD at G-SIB score cutoffs (bandwidth rules and McCrary test). 4) Ablation studies: compute θ* and welfare (i) with vs without implicit subsidy S(λ), (ii) with vs without liquidity premium in C(λ), and (iii) assuming competitive vs strategic banks. 5) Validation/backtest: run counterfactuals and out-of-sample tests on 2007Q3–2009Q4, 2010–2012 euro stress, and 1997–1998 Asian crisis and report ES99 bias and coverage.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and coverage: supervisory datasets are restricted and heterogeneous across countries, causing selection bias and delays. Measurement error: PD, LGD, Tobin’s Q and subsidy proxies are noisy and may induce attenuation or nonclassical bias in structural estimates. Identification threats: policy anticipation, concurrent macro shocks, and staggered treatment timing can invalidate DiD/RD designs. Model risk: structural misspecification (wrong functional forms for B(λ), C(λ) or bailout dynamics) can misstate θ* and welfare. Computational limits: importance sampling for extreme tails requires high compute and may show weight degeneracy or biased ES if mis‑tuned. Generalization: calibrated priors and results may not transfer across banking systems with different resolution regimes or fiscal capacity. Behavioral limits: regulator time-inconsistency and boundedly rational bank beliefs can break equilibrium closure and complicate causal interpretation. No mitigation steps are specified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