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sustained_customer_satisfaction_revenue</w:t>
      </w:r>
    </w:p>
    <w:p>
      <w:r>
        <w:t xml:space="preserve"> </w:t>
      </w:r>
    </w:p>
    <w:p>
      <w:pPr>
        <w:pStyle w:val="Heading2"/>
      </w:pPr>
      <w:r>
        <w:t>Title</w:t>
      </w:r>
    </w:p>
    <w:p>
      <w:r>
        <w:t>Estimating sustained causal effects of customer satisfaction on individual bank revenue using dynamic panel and instrumental-variable methods</w:t>
      </w:r>
    </w:p>
    <w:p>
      <w:r>
        <w:t xml:space="preserve"> </w:t>
      </w:r>
    </w:p>
    <w:p>
      <w:pPr>
        <w:pStyle w:val="Heading2"/>
      </w:pPr>
      <w:r>
        <w:t>Short Hypothesis</w:t>
      </w:r>
    </w:p>
    <w:p>
      <w:r>
        <w:t>An increase in an individual customer's satisfaction score causes a sustained positive increase in that customer's bank revenue over the following one to four years.</w:t>
      </w:r>
    </w:p>
    <w:p>
      <w:r>
        <w:t xml:space="preserve"> </w:t>
      </w:r>
    </w:p>
    <w:p>
      <w:pPr>
        <w:pStyle w:val="Heading2"/>
      </w:pPr>
      <w:r>
        <w:t>Related Work</w:t>
      </w:r>
    </w:p>
    <w:p>
      <w:r>
        <w:t>Prior work falls into three broad approaches: (1) cross-sectional and panel OLS correlations linking satisfaction surveys to aggregated revenue, which are simple but vulnerable to selection bias and reverse causality; (2) quasi-experimental designs (difference-in-differences, event studies) that exploit timing of rollouts but often operate at aggregate or cohort levels and may fail when timing is endogenous; (3) dynamic panel and IV methods that attempt to address persistence and endogeneity but face practical problems: weak instruments, instrument proliferation in GMM, measurement error in survey responses, and limited attention to individual-level sustained effects. Limitations across the literature include reliance on aggregate outcomes (not individual CLV), insufficient correction for survey measurement error, weak or poorly validated instruments, and few studies that compare long-run impulse responses from local projections (LPs) versus system GMM or bias-corrected fixed effects. Heterogeneity across satisfaction tiers and nonlinear effects also remain under-explored.</w:t>
      </w:r>
    </w:p>
    <w:p>
      <w:r>
        <w:t xml:space="preserve"> </w:t>
      </w:r>
    </w:p>
    <w:p>
      <w:pPr>
        <w:pStyle w:val="Heading2"/>
      </w:pPr>
      <w:r>
        <w:t>Abstract</w:t>
      </w:r>
    </w:p>
    <w:p>
      <w:r>
        <w:t>This study measures whether higher customer satisfaction causally increases revenue for individual retail bank customers over one to four years. We combine satisfaction survey responses with linked transaction records for 19,060 Swedish customers and use a prespecified causal protocol. The approach estimates short- and long-run elasticities via dynamic panel methods (system GMM with finite-sample correction), horizon-specific local projections (LPs), and instrumented regressions when valid instruments are available (e.g., randomized survey timing or administrative rollouts). We harmonize ordinal satisfaction items into a latent continuous score using a state-space measurement model to reduce measurement error. Main contributions: (1) individual-level sustained effect estimates (1–4 year horizons); (2) a robustness matrix comparing GMM, LPs, LSDV and IV under concrete diagnostics; (3) translation of elasticities into customer lifetime value (CLV) and ROI scenarios. Expected outcome: defensible, policy-ready estimates of sustained revenue gains from satisfaction improvements and clear decision thresholds for investment.</w:t>
      </w:r>
    </w:p>
    <w:p>
      <w:r>
        <w:t xml:space="preserve"> </w:t>
      </w:r>
    </w:p>
    <w:p>
      <w:pPr>
        <w:pStyle w:val="Heading2"/>
      </w:pPr>
      <w:r>
        <w:t>Experiments</w:t>
      </w:r>
    </w:p>
    <w:p>
      <w:r>
        <w:t>Datasets: linked satisfaction surveys and monthly transaction records for 19,060 Swedish retail customers, bank×product×month panel for at least 48 months where possible. Measurement step: estimate latent satisfaction score with a state-space model (Kalman smoother) and report raw ordinal summary as alternative. Primary estimators: (A) system GMM (Blundell-Bond) with Windmeijer correction, collapsed instruments, instrument lags 2–3; (B) local projections (LPs) to compute horizon-specific impulse response functions (IRFs) up to 48 months; (C) bias-corrected least-squares dummy variable (LSDV) as fallback; (D) IV (when candidate instruments exist) using LIML where appropriate. Baselines: pooled OLS, fixed-effects OLS, and staggered DiD (Sun &amp; Abraham; Callaway &amp; Sant'Anna) as complementary checks. Evaluation metrics: estimated short-run elasticity β0, cumulative long-run elasticity Ψ_H = Σ_{h=0}^H ψ_h for H=12,24,36,48 months, standard errors, bootstrap CIs for IRFs, first-stage F-statistics (require &gt;10), Hansen p-values, AR(2) p-values, and CLV delta over 36 months. Simulation plan: Monte-Carlo grid with cluster counts {10,25,50}, effect sizes {0.01,0.03,0.05,0.10} (log revenue), measurement reliabilities {0.5,0.7,0.9}, feedback coeffs revenue→satisfaction {0,0.1,0.25}, confounding R2 {0,0.1,0.3}; 1,000 reps per cell to report bias, coverage, and MDEs. Ablations: (1) latent score vs raw score to test measurement correction; (2) GMM vs LPs vs LSDV to assess estimator sensitivity; (3) IV vs no-IV when instrument available. Pre-registration: register estimands, primary family (sustained log revenue), multiple-testing rule (Benjamini-Hochberg for secondary families), stopping rules (Hansen p&lt;0.01 or AR(2) p&lt;0.05 or first-stage F&lt;10 triggers fallback).</w:t>
      </w:r>
    </w:p>
    <w:p>
      <w:r>
        <w:t xml:space="preserve"> </w:t>
      </w:r>
    </w:p>
    <w:p>
      <w:pPr>
        <w:pStyle w:val="Heading2"/>
      </w:pPr>
      <w:r>
        <w:t>Risk Factors And Limitations</w:t>
      </w:r>
    </w:p>
    <w:p>
      <w:r>
        <w:t>Survey nonresponse and selection bias that make respondents non-representative; measurement error in ordinal satisfaction causing attenuation bias; weak or invalid instruments (randomized timing may affect response propensity rather than true satisfaction); dynamic endogeneity and reverse causality from revenue to satisfaction that may not be fully removed; small time dimension (T) causing bias in dynamic panels and instrument proliferation problems for GMM; linkage errors when joining survey and transaction data producing biased samples; attrition and missingness that may be missing not at random (MNAR); heterogeneity limits generalization beyond Swedish retail customers or other banks; limited power to detect very small effects at subgroup levels; computational cost of large simulation grids and bootstrap IRFs; privacy and legal constraints that may limit reproducibility of exact data workflows.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