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intergen_mobility_latam_mothers</w:t>
      </w:r>
    </w:p>
    <w:p>
      <w:r>
        <w:t xml:space="preserve"> </w:t>
      </w:r>
    </w:p>
    <w:p>
      <w:pPr>
        <w:pStyle w:val="Heading2"/>
      </w:pPr>
      <w:r>
        <w:t>Title</w:t>
      </w:r>
    </w:p>
    <w:p>
      <w:r>
        <w:t>Rank-rank and instrumental-variable assessment of parental education and occupation effects on intergenerational mobility in five Latin American countries</w:t>
      </w:r>
    </w:p>
    <w:p>
      <w:r>
        <w:t xml:space="preserve"> </w:t>
      </w:r>
    </w:p>
    <w:p>
      <w:pPr>
        <w:pStyle w:val="Heading2"/>
      </w:pPr>
      <w:r>
        <w:t>Short Hypothesis</w:t>
      </w:r>
    </w:p>
    <w:p>
      <w:r>
        <w:t>Including mothers' education and occupation together with fathers' education and occupation causes a statistically significant increase (p &lt; 0.05) in explained variance (adjusted R2) for child income rank at age 30 compared with models that use only fathers' proxies.</w:t>
      </w:r>
    </w:p>
    <w:p>
      <w:r>
        <w:t xml:space="preserve"> </w:t>
      </w:r>
    </w:p>
    <w:p>
      <w:pPr>
        <w:pStyle w:val="Heading2"/>
      </w:pPr>
      <w:r>
        <w:t>Related Work</w:t>
      </w:r>
    </w:p>
    <w:p>
      <w:r>
        <w:t>Existing research on intergenerational mobility typically estimates parent-to-child associations using single proxies (often father's education or occupation) and standard estimators such as rank-rank regression (which regresses child percentile rank on parent percentile rank) or OLS intergenerational elasticity (IGE, which regresses log child income on log parent income). Other lines use sibling fixed effects, policy IVs (for example compulsory schooling reforms) or transition matrices to study mobility. Limitations in prior work: many studies rely on a single parental proxy and so understate maternal contributions; cross-country harmonization of education, occupation, and subjective status is often ad hoc and not reproducible; linkage error and administrative match uncertainty are rarely propagated into final estimates; spatial context and maternal time-use/social capital are frequently omitted; and differential privacy or synthetic-data trade-offs are not pre-specified. These gaps leave unresolved how informative combined parental proxies are across countries and over time, and how much mothers specifically account for measured mobility.</w:t>
      </w:r>
    </w:p>
    <w:p>
      <w:r>
        <w:t xml:space="preserve"> </w:t>
      </w:r>
    </w:p>
    <w:p>
      <w:pPr>
        <w:pStyle w:val="Heading2"/>
      </w:pPr>
      <w:r>
        <w:t>Abstract</w:t>
      </w:r>
    </w:p>
    <w:p>
      <w:r>
        <w:t>We measure intergenerational mobility in five Latin American countries by combining both parents' education and occupation as family background proxies and quantifying how informative those proxies are for adult child outcomes. Using rank-rank OLS (child income percentile on parental percentiles), OLS IGE (log income regressions), transition matrices, within-family (sibling) fixed effects, and instrumental-variable designs where available, we compare models that use fathers-only, mothers-only, and both-parents proxies. We implement harmonized mappings for education (years and ISCED), occupation (ISCO crosswalks and alternative prestige scores), and subjective status, and we propagate linkage uncertainty using multiple imputation, match-probability weighting, and worst-case bounds. The main contribution is a cross-country, temporally sensitive quantification of maternal informativeness: how much mothers add to prediction and causal estimates of mobility. Expected outcomes are reproducible, pre-registered estimands and comparatives showing whether and how maternal measures change mobility estimates and policy-relevant effect sizes across countries.</w:t>
      </w:r>
    </w:p>
    <w:p>
      <w:r>
        <w:t xml:space="preserve"> </w:t>
      </w:r>
    </w:p>
    <w:p>
      <w:pPr>
        <w:pStyle w:val="Heading2"/>
      </w:pPr>
      <w:r>
        <w:t>Experiments</w:t>
      </w:r>
    </w:p>
    <w:p>
      <w:r>
        <w:t>Datasets: linked administrative registers and household surveys in Brazil (optional pilot), Chile, Ecuador, Mexico, and Panama. Use administrative education registers, earnings registers, national ID linkage where available, and national household surveys for subjective status and maternal inputs. Sample inclusion: biological or primary-caregiver mother identified, child observed at target ages (income rank and log income at age 30; schooling and ISCED by 25; occupation/SEI at 30), maternal baseline measures measured before child age 5. Baseline covariates: child sex, birth cohort, birth order, maternal age at birth, urban/rural at birth, baseline household size, region fixed effects. Cluster standard errors at municipality/PSU. Baseline estimators: (1) rank-rank OLS (explained: regress child percentile rank on parental percentile ranks; percentile = country-specific rank), (2) OLS IGE on log income (regress log child income on log parental income proxies), (3) transition matrices (quintiles/deciles), (4) sibling fixed-effects regressions, (5) IV where available (country-specific compulsory schooling reforms, school construction rollouts, conditional cash transfer eligibility such as Progresa/Oportunidades in Mexico) with first-stage F&gt;10 and Anderson-Rubin CIs. Baseline model variations (comparisons): A) fathers-only proxies; B) mothers-only proxies; C) both parents' education only; D) both parents' education and occupation; E) D + spatial neighborhood covariates. Evaluation metrics: change in adjusted R2 (absolute), rank-rank slope (OLS coefficient), IGE coefficient (OLS on log income), RMSE, changes in transition-matrix cell probabilities (e.g., top-quintile persistence), p-values and 95% confidence intervals, and minimum detectable effect (MDE) calculations. Ablation studies: 1) occupation prestige mapping: compare SEI (socioeconomic index) versus SIOPS (international prestige score) and report differences in coefficients and fit; 2) linkage-error propagation: run analyses with (i) match-probability multiple imputation, (ii) match-weighting, (iii) worst-case bounds and report variance across methods; 3) mediation ablation: include maternal mediators (income, time-use index, social-capital index) and estimate interventional mediation effects (interventional indirect/direct effects; interventional effects are defined as population-level changes when mediator distributions are intervened). Pre-registration and inference: preregister primary family of five outcomes and apply Holm-Bonferroni for familywise control; report unadjusted and adjusted estimates. Sensitivity analyses: MNAR selection ranges (pre-specified patterns) for attrition, SIMEX for income measurement error, Oster bounds for omitted-variable bias. Reproducibility: containerized code, fixed random seeds, and config files producing MDE→N tables for realistic baseline variances per country.</w:t>
      </w:r>
    </w:p>
    <w:p>
      <w:r>
        <w:t xml:space="preserve"> </w:t>
      </w:r>
    </w:p>
    <w:p>
      <w:pPr>
        <w:pStyle w:val="Heading2"/>
      </w:pPr>
      <w:r>
        <w:t>Risk Factors And Limitations</w:t>
      </w:r>
    </w:p>
    <w:p>
      <w:r>
        <w:t>Linkage error and match uncertainty may bias estimates if not fully modeled; administrative access restrictions, legal delays, or fees can limit sample size and country coverage; measurement error in informal income and top-coding can distort IGE and rank estimates; MNAR attrition (nonrandom missing outcomes) can invalidate inference if selection models are misspecified; harmonization of education, occupation, and subjective status across countries may introduce residual misclassification and reduce comparability; IV credibility depends on local policy contexts and may fail exclusion assumptions (instrument affects child outcomes by channels other than maternal inputs); differential privacy (DP) or synthetic-data release may reduce utility for fine-grained spatial analyses; computational cost of large administrative linkage, multiple-imputation, and Monte Carlo power simulations may be high; results may not generalize beyond the studied cohorts or countries with different institutional histories.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