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ecb_climate_bank_car_eventstudy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Event-study analysis of the effect of ECB climate-related announcements on European banks' stock returns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ECB climate-related announcements cause statistically significant abnormal returns for European banks within the [-1,+1] trading-day window, with tightening announcements producing negative abnormal returns for banks with higher financed-emissions exposure.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combines three strands: event studies on central bank communication (which measure market responses to policy statements), empirical work on climate risk pricing in bank equities (which links financed-emissions to valuation), and high-frequency surprise measures using intraday price moves and text tone. Typical approaches use daily windows and single-source emissions measures or coarse event taxonomies. Limitations in prior work include: (1) coarse or ill-defined event coding that mixes formal policy changes with speeches, (2) reliance on single-provider emissions data that induce measurement error, (3) few studies use intraday timestamp alignment to compute precise surprises, (4) endogeneity is often not addressed with strong IVs or robust staggered-treatment estimators, and (5) overlapping events and concurrent non-ECB announcements are seldom decomposed. These gaps limit causal interpretation and reduce power to detect small but economically meaningful effects.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European banks' equity prices react to climate-related communications by the European Central Bank (ECB). Using an event-study framework with narrow intraday and daily windows, we measure price- and text-based surprises for a set of ECB climate announcements and estimate cumulative abnormal returns (CARs) for European banks. We triangulate financed-emissions exposures across multiple providers to build a latent exposure measure that accounts for measurement error. Identification combines short-window CARs, staggered-difference-in-differences for continuous surprise intensity, and instrumental-variable (IV) strategies based on lagged lending footprints and exogenous speaker-timing variation. Main contributions are a precise intraday surprise construction aligned to ECB timestamps, an uncertainty-aware financed-emissions measure, and pre-specified estimators and robustness checks addressing overlapping events and weak instruments. Expected outcome: credible estimates of the direction and magnitude of market reactions to ECB climate signaling, and insight into whether reactions reflect revised risk premia, liquidity effects, or expected cash-flow changes.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daily and intraday (tick/quote) prices for European banks (Datastream/Refinitiv), market/factor returns (MSCI Europe, euro-area bank returns, Fama-French 3/5 factors), bank fundamentals (Bankscope/Orbis), financed-emissions (Trucost, CDP, Climate-Accounts), loan-book sector maps (RMS/Dealogic), CDS and bond funding spreads, and ECB event texts/speeches with exact timestamps. Sample: pilot N=30 large European banks, daily 2018–2023 (full sample 2015–2024). Event list: pre-specified ECB climate-strategy releases, climate lines in monetary-policy decisions, green-asset purchase policy changes, supervisory climate-test announcements, Governing Council speeches/press conferences. Primary baseline: market-model CAR using local market index (country or MSCI Europe) with estimation window [-250,-31] trading days; multifactor baseline: add euro-area bank factor and Fama-French factors (size/value). Primary event windows: intraday 5-minute centered on publication (primary surprise) and daily CAR[-1,+1]; robustness windows: 1- and 15-minute intraday, CAR[-3,+3], CAR[-5,+5]. Exposure measurement: compare single-source emissions vs. Bayesian latent exposure (multi-source), with MICE imputation and SIMEX correction. Estimators: standard event-study CARs, Sun &amp; Abraham staggered DiD for binary events, Callaway &amp; Sant’Anna dose-response for continuous surprises, stacked-event estimator, multi-event deconvolution (distributed-lag regression), and 2SLS IV (instruments: lagged 3–5 year geographic/sectoral lending shares, speaker-timing variation). Inference: two-way clustering (bank, day), wild-cluster bootstrap-t (5,000 reps) for small-cluster scenarios, Newey-West for overlapping windows. Evaluation metrics: mean CAR and standard error, bootstrap p-values, t-statistics, power curves, first-stage F-stat and partial R2 for IVs, coverage and bias from simulation. Ablations/Comparisons: (A) single-source emissions vs. latent multi-source exposure, (B) price-only surprise vs. text-only tone vs. composite surprise, (C) including vs. excluding overlapping events, (D) factor specifications (local index only vs. multifactor), (E) without IV vs. 2SLS and weak-IV robust estimators (Anderson-Rubin, LIML). Validation and falsification: placebo-event tests (shifted dates), non-climate ECB announcements, non-European bank sample, pre-trend tests (lead coefficients), and permutation tests. Deliverables: CAR tables, IV diagnostics, simulation-based estimator comparison, and power curves across event counts and first-stage strengths.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financed-emissions providers disagree and missingness may bias exposure estimates (risk: latent model misspecification). Weak instruments: candidate IVs may fail first-stage strength, limiting causal IV inference. Event overlap and confounding: ECB events often coincide with EU policy or large corporate news, complicating attribution. Microstructure noise and cross-listing: intraday price data are noisy and banks trade on multiple venues, which may distort surprise measures. Small number of clean events: low event counts reduce power to detect modest CARs. NLP multilingual bias: translations and language differences may bias tone measures. Computational cost and data access: high-frequency data processing is compute- and storage-intensive and raw intraday data may not be sharable for replication. External validity: results may not generalize beyond the sample period or to smaller banks or non-European markets.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