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eu_funds_tfp_spatiotemporal_impact</w:t>
      </w:r>
    </w:p>
    <w:p>
      <w:r>
        <w:t xml:space="preserve"> </w:t>
      </w:r>
    </w:p>
    <w:p>
      <w:pPr>
        <w:pStyle w:val="Heading2"/>
      </w:pPr>
      <w:r>
        <w:t>Title</w:t>
      </w:r>
    </w:p>
    <w:p>
      <w:r>
        <w:t>Dynamic panel and spatial‑IV analysis of the impact of EU cohesion funds on regional total factor productivity growth</w:t>
      </w:r>
    </w:p>
    <w:p>
      <w:r>
        <w:t xml:space="preserve"> </w:t>
      </w:r>
    </w:p>
    <w:p>
      <w:pPr>
        <w:pStyle w:val="Heading2"/>
      </w:pPr>
      <w:r>
        <w:t>Short Hypothesis</w:t>
      </w:r>
    </w:p>
    <w:p>
      <w:r>
        <w:t>An increase in regional EU cohesion fund receipts (per €1,000 per capita) causes higher regional total factor productivity (TFP) growth within three years, with effect sizes differing by fund type and producing measurable positive spillovers in neighbouring regions.</w:t>
      </w:r>
    </w:p>
    <w:p>
      <w:r>
        <w:t xml:space="preserve"> </w:t>
      </w:r>
    </w:p>
    <w:p>
      <w:pPr>
        <w:pStyle w:val="Heading2"/>
      </w:pPr>
      <w:r>
        <w:t>Related Work</w:t>
      </w:r>
    </w:p>
    <w:p>
      <w:r>
        <w:t>Existing research on public funding and regional productivity uses three main approaches: production‑function based TFP (Solow residual), structural micro methods that correct for input choice endogeneity (Olley–Pakes, Levinsohn–Petrin), and reduced‑form causal designs (difference‑in‑differences, Bartik instruments, regression discontinuity). Spatial econometrics (SAR/SDM) and spatial IVs have been used to capture spillovers. Methodological advances address dynamic panel bias (debiased fixed effects, system GMM) and staggered treatment bias (Callaway &amp; Sant’Anna, Sun &amp; Abraham). Remaining limitations in prior work include inconsistent TFP construction across studies, weak or poorly justified instruments, limited treatment of spatial reflection problems, inadequate propagation of TFP measurement uncertainty, and bias in staggered adoption event studies. Many studies also aggregate heterogeneously across regions without fully accounting for varied capital accumulation and fund types, leaving open questions on temporal phases and spatial heterogeneity.</w:t>
      </w:r>
    </w:p>
    <w:p>
      <w:r>
        <w:t xml:space="preserve"> </w:t>
      </w:r>
    </w:p>
    <w:p>
      <w:pPr>
        <w:pStyle w:val="Heading2"/>
      </w:pPr>
      <w:r>
        <w:t>Abstract</w:t>
      </w:r>
    </w:p>
    <w:p>
      <w:r>
        <w:t>We study how European Structural and Investment Funds affect regional total factor productivity (TFP) growth across time and space for 262 NUTS2 regions (2000–2019). We combine a transparent, reproducible TFP construction with a causal identification strategy that mixes bias‑corrected dynamic panel estimators, modern staggered DiD corrections, spatial IVs, and Bartik instruments to separate direct local effects from spillovers. The main contribution is a pre‑specified, multi‑method pipeline that accounts for heterogeneous capital accumulation, distinguishes pre‑crisis, crisis and recovery periods, and disentangles ERDF, ESF, Cohesion Fund and EAFRD impacts. We propagate TFP measurement uncertainty via bootstrapping the micro‑based TFP estimates and evaluate estimator performance by finite‑sample simulations. Expected outcomes are rigorously identified estimates of short‑ and medium‑run fund elasticities on TFP, a decomposition by fund type and region development, and quantification of spatial spillovers that inform cost‑effectiveness comparisons for policy design.</w:t>
      </w:r>
    </w:p>
    <w:p>
      <w:r>
        <w:t xml:space="preserve"> </w:t>
      </w:r>
    </w:p>
    <w:p>
      <w:pPr>
        <w:pStyle w:val="Heading2"/>
      </w:pPr>
      <w:r>
        <w:t>Experiments</w:t>
      </w:r>
    </w:p>
    <w:p>
      <w:r>
        <w:t>Datasets: region-year panel for 262 NUTS2 regions, 2000–2019; project-level EU fund records (commitments, disbursements, geocodes, fund type); firm/establishment microdata to build TFP; regional controls (GDP per capita, employment, sector shares); directed flow matrices (commuting, trade). Baselines: (1) Solow residual TFP aggregated to region; (2) Levinsohn–Petrin TFP (LP) aggregated; (3) Olley–Pakes TFP (OP) aggregated. Causal estimators: bias‑corrected fixed effects (analytical or split‑panel jackknife) baseline; system GMM for sensitivity; Callaway &amp; Sant’Anna and Sun &amp; Abraham for staggered event studies; IVs including Bartik (national/EU envelope shock × pre‑period shares), eligibility RD, political timing, and spatial‑IVs (lagged origin shocks weighted by directed flows). Spatial models: Spatial Durbin Model (SDM) and SAR with various W matrices. Evaluation metrics: estimated elasticities (percent TFP change per €1,000 per capita), standard errors, 95% CIs, first‑stage F and Sanderson‑Windmeijer statistics, Hansen/J overid p, pre‑trend p‑values, bootstrap TFP CI coverage, and simulation bias/RMSE/coverage. Experimental setup: pre‑specify treatment timing (first year with ≥20% project disbursement) and robustness variants (commitment, contract start, lags 1–3); event windows leads up to 3 years, lags 0,1,2,3,5 and cumulative 0–2,0–5; conduct TFP bootstrap by resampling firms within regions and re‑estimating causal models to propagate TFP uncertainty; run finite‑sample simulations grid N∈{100,300,800}, T∈{8,15,25}, ρ∈{0.3,0.6,0.9}, spatial φ∈{0,0.2,0.5}, measurement error var∈{0,0.25,0.5}. Ablation studies: compare TFP estimators (Solow vs LP vs OP), treatment timing rules, IV sets (single vs combined instruments), and W matrices (queen, rook, inverse‑distance, k‑nearest, commuting), reporting ranges and model‑averaged estimates.</w:t>
      </w:r>
    </w:p>
    <w:p>
      <w:r>
        <w:t xml:space="preserve"> </w:t>
      </w:r>
    </w:p>
    <w:p>
      <w:pPr>
        <w:pStyle w:val="Heading2"/>
      </w:pPr>
      <w:r>
        <w:t>Risk Factors And Limitations</w:t>
      </w:r>
    </w:p>
    <w:p>
      <w:r>
        <w:t>TFP measurement error: microdata gaps, mismeasured capital (intangibles), and deflator choices may bias TFP; aggregation from firms to regions can introduce composition bias. Instrument weaknesses: first‑stage weak instruments or invalid exclusion restrictions (especially spatial‑IVs) can invalidate causal claims. Staggered adoption bias: incorrect event‑study correction can produce biased dynamics. Missing geocodes: nonrandom missing project locations may cause allocation bias. Reflection problem: simultaneity in spatial dependence may violate IV exclusion. Computational costs: bootstrapping TFP, large W matrices, and wide simulation grids are compute‑intensive and may exceed resources. External validity: results confined to 2000–2019 NUTS2 EU regions and may not generalize. Multiple testing: many subgroup and fund‑type tests increase false discovery risk. Unobserved confounders: residual regional shocks correlated with funding could remain. No mitigation steps are described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