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true_pricing_pos</w:t>
      </w:r>
    </w:p>
    <w:p>
      <w:r>
        <w:t xml:space="preserve"> </w:t>
      </w:r>
    </w:p>
    <w:p>
      <w:pPr>
        <w:pStyle w:val="Heading2"/>
      </w:pPr>
      <w:r>
        <w:t>Title</w:t>
      </w:r>
    </w:p>
    <w:p>
      <w:r>
        <w:t>Randomized evaluation of probabilistic true-price displays at the point of sale using monetized life-cycle assessment</w:t>
      </w:r>
    </w:p>
    <w:p>
      <w:r>
        <w:t xml:space="preserve"> </w:t>
      </w:r>
    </w:p>
    <w:p>
      <w:pPr>
        <w:pStyle w:val="Heading2"/>
      </w:pPr>
      <w:r>
        <w:t>Short Hypothesis</w:t>
      </w:r>
    </w:p>
    <w:p>
      <w:r>
        <w:t>Providing consumers with monetized true-price information that includes numeric uncertainty intervals at the point of sale causes at least a 3 percentage-point increase in selection of lower-externality product alternatives compared to no true-price information.</w:t>
      </w:r>
    </w:p>
    <w:p>
      <w:r>
        <w:t xml:space="preserve"> </w:t>
      </w:r>
    </w:p>
    <w:p>
      <w:pPr>
        <w:pStyle w:val="Heading2"/>
      </w:pPr>
      <w:r>
        <w:t>Related Work</w:t>
      </w:r>
    </w:p>
    <w:p>
      <w:r>
        <w:t>Existing work on environmental labeling and price cues has tested badges, point estimates, and simple scorecards to influence consumer choice. Life-cycle assessment (LCA) methods produce product footprints but are typically reported as deterministic values or coarse scores. Prior randomized trials of eco-labels show mixed effects on purchases, often limited by small samples, single-format labels, or lack of monetized externalities. Behavioral research on uncertainty displays indicates numeric intervals improve credibility but can reduce comprehension for low-numeracy users; visual bands and qualitative cues trade clarity for accessibility. Demand estimation studies use mixed-logit models (a model that allows consumer tastes to vary) to recover price sensitivity, but many prior analyses do not propagate LCA or valuation uncertainty into welfare measures. Current gaps: (1) few studies test monetized true prices (currency units) instead of abstract scores; (2) LCA uncertainty is rarely propagated to consumer-facing displays or welfare estimates; (3) auditability, supplier data governance, and anti-gaming protocols are underdeveloped in applied trials.</w:t>
      </w:r>
    </w:p>
    <w:p>
      <w:r>
        <w:t xml:space="preserve"> </w:t>
      </w:r>
    </w:p>
    <w:p>
      <w:pPr>
        <w:pStyle w:val="Heading2"/>
      </w:pPr>
      <w:r>
        <w:t>Abstract</w:t>
      </w:r>
    </w:p>
    <w:p>
      <w:r>
        <w:t>We evaluate how monetized, probabilistic true-price information—price adjustments that internalize environmental and social externalities computed by life-cycle assessment (LCA) and expressed in currency—affects consumer choice at the point of sale. Our approach pairs a version-controlled monetization ledger (probabilistic LCA + shadow prices) with an online randomized controlled trial that compares display formats: point estimate, numeric 95% interval, numeric interval plus simple visual band, qualitative uncertainty wording, badge-only, and no-information control. Primary outcomes are purchase incidence and substitution to lower-externality SKUs; secondary outcomes include comprehension and trust. We estimate demand with mixed-logit models (allowing heterogeneous tastes) and compute compensating variation (CV, the monetary welfare change) by propagating Monte Carlo draws from LCA and valuation uncertainty. The main contribution is an integrated, reproducible pipeline linking probabilistic true-cost computation, experimentally randomized label formats, and welfare estimation, producing actionable effect sizes and audit-ready protocols for policy and retailer pilots.</w:t>
      </w:r>
    </w:p>
    <w:p>
      <w:r>
        <w:t xml:space="preserve"> </w:t>
      </w:r>
    </w:p>
    <w:p>
      <w:pPr>
        <w:pStyle w:val="Heading2"/>
      </w:pPr>
      <w:r>
        <w:t>Experiments</w:t>
      </w:r>
    </w:p>
    <w:p>
      <w:r>
        <w:t>Datasets: (1) Online panel of Dutch and Danish consumers, pooled N = 1,400 for initial online RCT stratified by income decile, age, and numeracy; (2) probabilistic LCA Monte Carlo outputs for 10 representative SKUs with per-SKU distributions for GHG, water, land, biodiversity, and health impacts; (3) optional POS and upstream order data for a clustered rollout. Baselines: control with no true-price, point-estimate monetary surcharge, climate-only monetary surcharge. Display arms: A point estimate only; B point + numeric 95% interval (numeric interval is a range with 95% probability); C numeric interval + color band (visual band); D qualitative phrasing; E badge-only. Sample size and power: present calculations using two-sided alpha=0.05, power=0.8: for baseline purchase p0=10%, Δ=3pp requires ≈1,800 per arm under individual randomization; Δ=5pp requires ≈650 per arm. For clustered designs apply DE = 1 + (m−1)ICC; example m=200, ICC=0.01 → DE≈3, multiply per-arm N by 3. Planned online RCT (N=1,400) is powered to detect ≈5pp effects for p0≈10%. Randomization: individual-level stratified random assignment to arms. Analysis methods: ITT estimates via linear probability model and probit; mixed-logit demand estimation (mixed-logit = model with random coefficients) to recover price coefficient β_price; IV strategy using randomized price/label exposure to identify β_price when needed. Welfare: compute CV = −(1/β_price) * ln(sum_j exp(V_j^0)/sum_j exp(V_j^1)) where V are utilities; propagate SKU monetized uncertainty with Monte Carlo draws to produce CV distributions. Evaluation metrics: primary — purchase incidence (binary), share of lower-externality substitutes; secondary — comprehension score (% correct), trust rating (Likert), click-through to breakdown, mean and 95% CI of CV. Statistical protocol: pre-register primary/secondary outcomes, use Romano–Wolf stepdown for familywise correction, report cluster-robust SEs and wild-cluster bootstrap when clustering. Ablations/comparisons: (i) numeric interval vs numeric+visual to isolate visual effect; (ii) full monetized true-price vs climate-only monetization to test decomposition effects; (iii) analysis with and without propagating LCA uncertainty to quantify impact on welfare estimates.</w:t>
      </w:r>
    </w:p>
    <w:p>
      <w:r>
        <w:t xml:space="preserve"> </w:t>
      </w:r>
    </w:p>
    <w:p>
      <w:pPr>
        <w:pStyle w:val="Heading2"/>
      </w:pPr>
      <w:r>
        <w:t>Risk Factors And Limitations</w:t>
      </w:r>
    </w:p>
    <w:p>
      <w:r>
        <w:t>Technical failure modes: Monte Carlo pipelines may be computationally heavy, producing long runtimes or instability in joint draws; Bayesian hierarchical or copula models can fail to converge. Data biases: online panel samples may not generalize to in-store shoppers; self-reported choices differ from real purchase behavior. Measurement error: LCA inputs and shadow prices have high uncertainty, leading to wide monetary ranges that may weaken treatment effects. Statistical power: small baseline purchase rates and heterogeneous effects by income decile risk underpowered subgroup estimates. Supplier behavior: strategic misreporting or selective data submission can bias SKU monetization. Regulatory constraints: jurisdictional rules may prohibit surcharge framing, limiting label formats. Privacy and release limits: differential privacy or aggregation thresholds reduce utility of public outputs. Generalization limits: results in Dutch and Danish contexts may not transfer to other markets with different price sensitivity or cultural attitudes. No mitigations are provided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