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markup_product_diff_airlines</w:t>
      </w:r>
    </w:p>
    <w:p>
      <w:r>
        <w:t xml:space="preserve"> </w:t>
      </w:r>
    </w:p>
    <w:p>
      <w:pPr>
        <w:pStyle w:val="Heading2"/>
      </w:pPr>
      <w:r>
        <w:t>Title</w:t>
      </w:r>
    </w:p>
    <w:p>
      <w:r>
        <w:t>Markup-decomposition integrating product differentiation to analyze profitability dynamics in the U.S. airline industry</w:t>
      </w:r>
    </w:p>
    <w:p>
      <w:r>
        <w:t xml:space="preserve"> </w:t>
      </w:r>
    </w:p>
    <w:p>
      <w:pPr>
        <w:pStyle w:val="Heading2"/>
      </w:pPr>
      <w:r>
        <w:t>Short Hypothesis</w:t>
      </w:r>
    </w:p>
    <w:p>
      <w:r>
        <w:t>Exogenous increases in product differentiation (frequency, schedule dispersion, or ancillary services) cause higher firm-level markups on affected U.S. airline routes.</w:t>
      </w:r>
    </w:p>
    <w:p>
      <w:r>
        <w:t xml:space="preserve"> </w:t>
      </w:r>
    </w:p>
    <w:p>
      <w:pPr>
        <w:pStyle w:val="Heading2"/>
      </w:pPr>
      <w:r>
        <w:t>Related Work</w:t>
      </w:r>
    </w:p>
    <w:p>
      <w:r>
        <w:t>Existing empirical work recovers markups from demand slopes (BLP-style random-coefficients) and uses multilateral decompositions (Lovell-style) to track aggregate markup changes. Common identification strategies exploit Hausman-style supply shifters, slot events, fleet groundings, and fuel-cost variation as instruments. Prior studies typically treat product attributes (frequency, schedule dispersion, ancillaries) as exogenous controls, ignore itinerary-level internalization for connecting passengers, or use sensitivity bounds rather than formal measurement-error corrections. Data work has highlighted DB1B sampling and left-tail fare censoring, and researchers have applied reweighting and multiple imputation, but often without integrating those corrections into the markup decomposition. Limitations: (1) lack of a unified decomposition that attributes markup changes to product differentiation; (2) weak or unformalized first-stage instrument mappings for nonprice attributes; (3) limited treatment of multi-leg internalization and ownership misclassification; (4) reliance on bounds rather than formal errors-in-variables or latent-class corrections.</w:t>
      </w:r>
    </w:p>
    <w:p>
      <w:r>
        <w:t xml:space="preserve"> </w:t>
      </w:r>
    </w:p>
    <w:p>
      <w:pPr>
        <w:pStyle w:val="Heading2"/>
      </w:pPr>
      <w:r>
        <w:t>Abstract</w:t>
      </w:r>
    </w:p>
    <w:p>
      <w:r>
        <w:t>This paper introduces a formal markup-decomposition framework that explicitly integrates product differentiation to explain firm-level profitability dynamics in the U.S. airline industry. We extend standard markup recovery by treating frequency, schedule dispersion, and ancillary fees as endogenous product attributes and instrumenting them with supply-side events (slot reallocations, runway closures, fleet shocks) and cost shifters. The method decomposes annual markup changes into components attributable to cost, demand shifts, and changes in product differentiation, while accounting for multi-leg itinerary internalization and ownership structures. We combine a reweighted DB1B ticket panel (benchmarked to T-100), principled multiple imputation for ancillary gaps, and a joint demand–supply GMM estimator that nests a control-function correction. Expected outcomes are precise estimates of how much product differentiation drives markup growth, diagnostics on instrument validity, and policy-relevant counterfactuals (merger and slot allocation scenarios). Contributions: (1) a testable decomposition linking endogenous attributes to markups; (2) explicit first-stage mappings and measurement-error treatment; (3) reproducible diagnostics and Monte Carlo validation tuned to DOT moments.</w:t>
      </w:r>
    </w:p>
    <w:p>
      <w:r>
        <w:t xml:space="preserve"> </w:t>
      </w:r>
    </w:p>
    <w:p>
      <w:pPr>
        <w:pStyle w:val="Heading2"/>
      </w:pPr>
      <w:r>
        <w:t>Experiments</w:t>
      </w:r>
    </w:p>
    <w:p>
      <w:r>
        <w:t>Datasets: DB1B ticket microdata (reweighted to T-100 route×quarter), T-100 segment totals, carrier schedules, ancillary-fee sources, airport slot event logs, fleet-grounding maintenance events, OTA fare aggregates for validation. Sample: 20 U.S. airlines, two decades, route×quarter panel. Baselines: (A) Lovell-style decomposition without product differentiation; (B) BLP-style markup recovery ignoring nonprice attributes; (C) OLS/IV price regressions with Hausman instruments; (D) control-function single-equation vs joint demand–supply GMM. First-stage equations (examples): freq_jt = γ0 + γ1·slot_change_airport_t + γ2·fleet_grounding_jt + γ3·rivals_lag_capacity_jt + controls + u_freq_jt; anc_fee_jt = δ0 + δ1·regulatory_fee_change_t + δ2·carrier_policy_shift_jt + δ3·route_cost_shifters + u_anc_jt. Cost function (estimand): mc_jt = θ0 + θ1·fuel_t·distance_j + θ2·pax_mix_jt + θ3·airport_fees_jt + ε_cost. Instruments: slot events, runway closures, fleet shocks, fuel×stage-length, regulatory ancillaries changes, rivals' lagged capacity. Evaluation metrics: first-stage F-statistics, partial R2, Kleibergen–Paap rk, Anderson–Rubin and CLR interval coverage, bias/RMSE of recovered markups, share of annual markup change attributed to differentiation, CI coverage in Monte Carlo. Experimental setup: apply control-function and joint GMM to the primary panel; run Monte Carlo calibrated to DOT moments (N_markets≈4,000, 1000 reps) to report bias, RMSE, and CI coverage under strong/weak instrument scenarios and multi-homing rates (5–40%). Ablations/comparisons: (1) drop product-differentiation terms from decomposition; (2) drop each instrument block (slot, fleet, fuel) individually; (3) treat ancillaries as exogenous vs instrumented; (4) vary ownership matrix (full internalization, alliances, no internalization) to test Δ construction. Report results at route×quarter aggregation and aggregate annual decomposition.</w:t>
      </w:r>
    </w:p>
    <w:p>
      <w:r>
        <w:t xml:space="preserve"> </w:t>
      </w:r>
    </w:p>
    <w:p>
      <w:pPr>
        <w:pStyle w:val="Heading2"/>
      </w:pPr>
      <w:r>
        <w:t>Risk Factors And Limitations</w:t>
      </w:r>
    </w:p>
    <w:p>
      <w:r>
        <w:t>Weak instruments: supply-shifter events may be weak or correlated with demand, reducing identification and requiring AR/CLR inference; instrument blocks could fail first-stage F thresholds. Measurement error: DB1B left-tail fare censoring and missing ancillaries can bias elasticity and markup estimates if imputation is misspecified. Ownership misclassification: code-share/alliance labels may be incomplete, causing errors in the internalization matrix (Δ) and biased markups. Multi-homing and itinerary linking: incomplete micro-linking limits exact routing internalization and may leave residual substitution bias. Dynamics and loyalty: ignoring consumer dynamics (repeat purchases or loyalty) can bias static estimates. Computational scale: joint GMM with random coefficients and Δ inversion is computationally heavy for large panels (draw strategy, solver tolerances matter). External validity: results are specific to U.S. route structure and historical policy events and may not generalize to other countries or times. No mitigation strategies are included here.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